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CD" w:rsidRDefault="00E92333">
      <w:pPr>
        <w:spacing w:line="58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pacing w:val="-11"/>
          <w:sz w:val="44"/>
          <w:szCs w:val="44"/>
        </w:rPr>
        <w:t>建邺区上半年经济运行分析</w:t>
      </w:r>
    </w:p>
    <w:p w:rsidR="008B24CD" w:rsidRDefault="008B24CD">
      <w:pPr>
        <w:pStyle w:val="BodyTextFirstIndent21"/>
        <w:ind w:left="420"/>
      </w:pPr>
    </w:p>
    <w:p w:rsidR="008B24CD" w:rsidRDefault="00E92333">
      <w:pPr>
        <w:spacing w:line="580" w:lineRule="exact"/>
        <w:jc w:val="center"/>
        <w:rPr>
          <w:rFonts w:ascii="方正楷体_GBK" w:eastAsia="方正楷体_GBK" w:hAnsi="方正楷体_GBK" w:cs="方正楷体_GBK"/>
          <w:color w:val="000000" w:themeColor="text1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 w:themeColor="text1"/>
          <w:sz w:val="32"/>
          <w:szCs w:val="32"/>
        </w:rPr>
        <w:t>建邺区统计局</w:t>
      </w:r>
    </w:p>
    <w:p w:rsidR="008B24CD" w:rsidRDefault="00E92333">
      <w:pPr>
        <w:pStyle w:val="BodyTextFirstIndent21"/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今年以来，我区经济发展延续了去年下半年以来稳定恢复的良好态势，实现了较好的恢复性增长，发展质量稳步提升，预计主要经济指标基本实现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双过半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。</w:t>
      </w:r>
    </w:p>
    <w:p w:rsidR="008B24CD" w:rsidRDefault="00E92333">
      <w:pPr>
        <w:pStyle w:val="BodyTextFirstIndent21"/>
        <w:numPr>
          <w:ilvl w:val="0"/>
          <w:numId w:val="1"/>
        </w:numPr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上半年全</w:t>
      </w:r>
      <w:bookmarkStart w:id="0" w:name="_GoBack"/>
      <w:bookmarkEnd w:id="0"/>
      <w:r>
        <w:rPr>
          <w:rFonts w:ascii="Times New Roman" w:eastAsia="方正仿宋_GBK" w:hAnsi="Times New Roman" w:cs="Times New Roman"/>
          <w:color w:val="000000" w:themeColor="text1"/>
          <w:sz w:val="32"/>
        </w:rPr>
        <w:t>区经济运行情况</w:t>
      </w:r>
    </w:p>
    <w:p w:rsidR="008B24CD" w:rsidRDefault="00E92333">
      <w:pPr>
        <w:pStyle w:val="BodyTextFirstIndent21"/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1.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地区生产总值。上半年，全区实现地区生产总值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578.89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亿元，增长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12.9%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，两年平均增长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6.9%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。其中，第三产业增加值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410.25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亿元，增长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14.5%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，占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GDP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比重达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70.9%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，较去年提高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1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个百分点。</w:t>
      </w:r>
    </w:p>
    <w:p w:rsidR="008B24CD" w:rsidRDefault="00E92333">
      <w:pPr>
        <w:pStyle w:val="BodyTextFirstIndent21"/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2.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固定资产投资。上半年，全区固定投资增速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11.0%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，主城区第四名，增速与全市持平。</w:t>
      </w:r>
    </w:p>
    <w:p w:rsidR="008B24CD" w:rsidRDefault="00E92333">
      <w:pPr>
        <w:pStyle w:val="BodyTextFirstIndent21"/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3.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社会消费品市场。上半年，全区实现全口径社零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243.83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亿元，同比增长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33.5%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。高于全市平均增幅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6.7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个百分点，较上月下降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2.6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个百分点。其中，实现限上社零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126.06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亿元，同比增长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50.2%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，高于全市平均增幅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18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个百分点，较上月下降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2.9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个百分点。全口径社零和限上社零增幅排名均居主城五区第一位。</w:t>
      </w:r>
    </w:p>
    <w:p w:rsidR="008B24CD" w:rsidRDefault="00E92333">
      <w:pPr>
        <w:pStyle w:val="BodyTextFirstIndent21"/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4.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人均可支配收入。上半年人均可支配收入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37820.7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元，增速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13.6%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。增速主城区排名第三名，与全市增速持平。</w:t>
      </w:r>
    </w:p>
    <w:p w:rsidR="008B24CD" w:rsidRDefault="00E92333">
      <w:pPr>
        <w:pStyle w:val="BodyTextFirstIndent21"/>
        <w:numPr>
          <w:ilvl w:val="0"/>
          <w:numId w:val="1"/>
        </w:numPr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FF0000"/>
          <w:sz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主要行业运行情况</w:t>
      </w:r>
    </w:p>
    <w:p w:rsidR="008B24CD" w:rsidRDefault="00E92333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方正仿宋_GBK" w:hAnsi="Times New Roman"/>
          <w:color w:val="000000" w:themeColor="text1"/>
          <w:kern w:val="2"/>
          <w:sz w:val="32"/>
          <w:szCs w:val="32"/>
        </w:rPr>
        <w:t>1.</w:t>
      </w:r>
      <w:r>
        <w:rPr>
          <w:rFonts w:ascii="Times New Roman" w:eastAsia="方正仿宋_GBK" w:hAnsi="Times New Roman"/>
          <w:color w:val="000000" w:themeColor="text1"/>
          <w:kern w:val="2"/>
          <w:sz w:val="32"/>
          <w:szCs w:val="32"/>
        </w:rPr>
        <w:t>工业生产增长稳健，高技术制造业增长快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。上半年，全区规模以上工业总产值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184.0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亿元，同比增长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15.8%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。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上半年，科技园工业总产值完成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156.7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亿元，同比增长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16.2%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，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lastRenderedPageBreak/>
        <w:t>占全区工业总产值比重为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85.2%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。汽车制造业，仪器仪表制造业和文教、工美、体育和娱乐用品制造业机、通信和其他电子设备制造业，服装制造业产值增幅最高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209.9%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。</w:t>
      </w:r>
    </w:p>
    <w:p w:rsidR="008B24CD" w:rsidRDefault="00E92333">
      <w:pPr>
        <w:pStyle w:val="BodyTextFirstIndent21"/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2.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建筑业增势良好，居全市首位。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全区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155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资质以上建筑业企业完成建筑业总产值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469.7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亿元，同比增长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16.2%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，高于全市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3.5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个百分点。特级资质企业完成建筑业总产值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420.0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亿元，同比增长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20.1%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，占全部总量的比重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89.4%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。</w:t>
      </w:r>
    </w:p>
    <w:p w:rsidR="008B24CD" w:rsidRDefault="00E92333">
      <w:pPr>
        <w:pStyle w:val="BodyTextFirstIndent21"/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3.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批零住餐业稳步增长，支撑力度明显。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上半年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，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限上批发业实现销售额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667.9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亿元，同比增长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27.1%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，低于全市平均增幅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3.4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个百分点，增幅位列主城区第四位；限上零售业实现销售额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99.6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亿元，同比增长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32.4%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，高于全市平均增幅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7.5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个百分点，增幅位列主城区第二位；限上住宿业实现营业额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2.8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亿元，同比增长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77%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，高于全市平均增幅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8.5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个百分点，增幅位列主城区第二位；限上餐饮业实现营业额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5.7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亿元，同比增长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70.5%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，高于全市平均增幅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19.5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个百分点，增幅位列主城区第二位。</w:t>
      </w:r>
    </w:p>
    <w:p w:rsidR="008B24CD" w:rsidRDefault="00E92333">
      <w:pPr>
        <w:pStyle w:val="BodyTextFirstIndent21"/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</w:pP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4.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服务业持续回暖，营利性服务业增长势头良好。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上半年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352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家规上服务业实现营收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334.08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亿元，同比增长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39.5%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，高于全市平均水平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2.1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lang w:bidi="ar"/>
        </w:rPr>
        <w:t>个百分点，增幅排名居主城区第三位。</w:t>
      </w:r>
    </w:p>
    <w:p w:rsidR="008B24CD" w:rsidRDefault="00E92333">
      <w:pPr>
        <w:pStyle w:val="BodyTextFirstIndent21"/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参与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GDP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核算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6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个行业实现营业收入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310.51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亿元，同比增长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43.2%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，高于全市行业平均增幅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4.2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个百分点，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GDP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增长贡献率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30.2%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。</w:t>
      </w:r>
    </w:p>
    <w:p w:rsidR="008B24CD" w:rsidRDefault="00E92333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5.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金融业市场运行稳健，支撑力度进一步增强。上半年，全区金融业实现营业收入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852.5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亿元，同比增长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32.4%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，高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lastRenderedPageBreak/>
        <w:t>于全市平均增幅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10.3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个百分点</w:t>
      </w:r>
      <w:r>
        <w:rPr>
          <w:rFonts w:ascii="Times New Roman" w:eastAsia="方正仿宋_GBK" w:hAnsi="Times New Roman"/>
          <w:sz w:val="32"/>
          <w:szCs w:val="32"/>
        </w:rPr>
        <w:t>。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银行业实现营业收入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252.7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亿元，占全区金融业比重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30.5%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，同比增长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11.2%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，低于全市平均增幅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4.5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个百分点。证券业实现营业收入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98.2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亿元，占全区金融业比重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11.4%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，同比增长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9.4%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，高于全市平均增幅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3.5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个百分点。保险业实现营业收入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501.6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亿元，占全区金融业比重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58.1%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，同比增长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58.1%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，高于全市平均增幅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21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个百分点。</w:t>
      </w:r>
    </w:p>
    <w:p w:rsidR="008B24CD" w:rsidRDefault="00E92333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6.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劳动就业形势稳定，劳动工资稳步提高。参与统一核算九大行业共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350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家单位，上半年从业人员数共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7.15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万人，同比增长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3.0%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；从业人员工资总额共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46.2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亿元，同比增长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10.6%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。其中规上单位共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307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家单位，从业人员数共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5.30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万人，同比增长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/>
          <w:color w:val="000000" w:themeColor="text1"/>
          <w:sz w:val="32"/>
          <w:szCs w:val="32"/>
          <w:lang w:eastAsia="zh-Hans"/>
        </w:rPr>
        <w:t>.6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；从业人员工资总额共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33.2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万元，同比增长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12.9 %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；规模以</w:t>
      </w:r>
      <w:r>
        <w:rPr>
          <w:rFonts w:ascii="Times New Roman" w:eastAsia="方正仿宋_GBK" w:hAnsi="Times New Roman"/>
          <w:color w:val="000000" w:themeColor="text1"/>
          <w:sz w:val="32"/>
          <w:szCs w:val="32"/>
          <w:lang w:eastAsia="zh-Hans"/>
        </w:rPr>
        <w:t>下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共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43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家单位，上半年从业人员数共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1.85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万人，同比</w:t>
      </w:r>
      <w:r>
        <w:rPr>
          <w:rFonts w:ascii="Times New Roman" w:eastAsia="方正仿宋_GBK" w:hAnsi="Times New Roman"/>
          <w:color w:val="000000" w:themeColor="text1"/>
          <w:sz w:val="32"/>
          <w:szCs w:val="32"/>
          <w:lang w:eastAsia="zh-Hans"/>
        </w:rPr>
        <w:t>减少</w:t>
      </w:r>
      <w:r>
        <w:rPr>
          <w:rFonts w:ascii="Times New Roman" w:eastAsia="方正仿宋_GBK" w:hAnsi="Times New Roman"/>
          <w:color w:val="000000" w:themeColor="text1"/>
          <w:sz w:val="32"/>
          <w:szCs w:val="32"/>
          <w:lang w:eastAsia="zh-Hans"/>
        </w:rPr>
        <w:t>1.1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；从业人员工资总额共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12.97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亿元，同比增长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12.9%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。</w:t>
      </w:r>
    </w:p>
    <w:p w:rsidR="008B24CD" w:rsidRDefault="00E92333">
      <w:pPr>
        <w:pStyle w:val="BodyTextFirstIndent21"/>
        <w:numPr>
          <w:ilvl w:val="0"/>
          <w:numId w:val="1"/>
        </w:numPr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FF0000"/>
          <w:sz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下一步工作举措</w:t>
      </w:r>
    </w:p>
    <w:p w:rsidR="008B24CD" w:rsidRDefault="00E92333">
      <w:pPr>
        <w:pStyle w:val="BodyTextFirstIndent21"/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1.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加强推进协调重点企业统计工作。靶向指导服务大企业，加大对烟厂、国睿、省建工、省金陵、中核华兴、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三桶油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、雨润生鲜等重点企业的关注，积极协调，解决发展问题。</w:t>
      </w:r>
    </w:p>
    <w:p w:rsidR="008B24CD" w:rsidRDefault="00E92333">
      <w:pPr>
        <w:pStyle w:val="BodyTextFirstIndent21"/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2.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加强配合梳理挖掘新的增长点。着力培育新的增长点，各园区、各级到应加强对中小微企业的运行监测，搭建中小企业服务平台，引导各方对接，培育准四上企业。加强对商业载体的准四上单位挖掘。</w:t>
      </w:r>
    </w:p>
    <w:p w:rsidR="008B24CD" w:rsidRDefault="00E92333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3.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强化跟踪服务，夯实消费增长点。把握新增单位审批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lastRenderedPageBreak/>
        <w:t>入库节点，进一步梳理和了解电商企业经营状况，推动符合条件的纳入统计，提升电商对消费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GDP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的贡献率。</w:t>
      </w:r>
    </w:p>
    <w:p w:rsidR="008B24CD" w:rsidRDefault="00E92333">
      <w:pPr>
        <w:pStyle w:val="BodyTextFirstIndent21"/>
        <w:spacing w:line="560" w:lineRule="exact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</w:rPr>
        <w:t>4.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t>做好新增单位审核入库工作。高度重视新增单位审核确认工作，充分挖掘。根据市局反馈达到规模的企业清单，仔细梳理，认真核实，及时纳入一套表调查单位库。</w:t>
      </w:r>
    </w:p>
    <w:p w:rsidR="008B24CD" w:rsidRDefault="008B24CD">
      <w:pPr>
        <w:pStyle w:val="BodyTextFirstIndent21"/>
        <w:ind w:left="420"/>
      </w:pPr>
    </w:p>
    <w:p w:rsidR="008B24CD" w:rsidRDefault="008B24CD">
      <w:pPr>
        <w:ind w:firstLineChars="200" w:firstLine="420"/>
        <w:rPr>
          <w:rFonts w:ascii="Times New Roman" w:hAnsi="Times New Roman"/>
          <w:szCs w:val="32"/>
        </w:rPr>
      </w:pPr>
    </w:p>
    <w:p w:rsidR="008B24CD" w:rsidRDefault="008B24CD">
      <w:pPr>
        <w:pStyle w:val="BodyTextFirstIndent21"/>
        <w:ind w:leftChars="0" w:left="0" w:firstLineChars="200" w:firstLine="600"/>
        <w:rPr>
          <w:rFonts w:ascii="华文仿宋" w:eastAsia="华文仿宋" w:hAnsi="华文仿宋"/>
          <w:color w:val="000000" w:themeColor="text1"/>
          <w:sz w:val="30"/>
          <w:szCs w:val="30"/>
        </w:rPr>
      </w:pPr>
    </w:p>
    <w:p w:rsidR="008B24CD" w:rsidRDefault="008B24CD">
      <w:pPr>
        <w:pStyle w:val="BodyTextFirstIndent21"/>
        <w:ind w:leftChars="0" w:left="0"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22"/>
          <w:lang w:bidi="ar"/>
        </w:rPr>
      </w:pPr>
    </w:p>
    <w:sectPr w:rsidR="008B2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B52" w:rsidRDefault="00EC5B52" w:rsidP="00EC5B52">
      <w:r>
        <w:separator/>
      </w:r>
    </w:p>
  </w:endnote>
  <w:endnote w:type="continuationSeparator" w:id="0">
    <w:p w:rsidR="00EC5B52" w:rsidRDefault="00EC5B52" w:rsidP="00EC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B52" w:rsidRDefault="00EC5B52" w:rsidP="00EC5B52">
      <w:r>
        <w:separator/>
      </w:r>
    </w:p>
  </w:footnote>
  <w:footnote w:type="continuationSeparator" w:id="0">
    <w:p w:rsidR="00EC5B52" w:rsidRDefault="00EC5B52" w:rsidP="00EC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1E8F264"/>
    <w:multiLevelType w:val="singleLevel"/>
    <w:tmpl w:val="C1E8F264"/>
    <w:lvl w:ilvl="0">
      <w:start w:val="1"/>
      <w:numFmt w:val="chineseCounting"/>
      <w:suff w:val="nothing"/>
      <w:lvlText w:val="%1、"/>
      <w:lvlJc w:val="left"/>
      <w:rPr>
        <w:rFonts w:hint="eastAsia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A7910"/>
    <w:rsid w:val="008B24CD"/>
    <w:rsid w:val="00E92333"/>
    <w:rsid w:val="00EC5B52"/>
    <w:rsid w:val="059D426D"/>
    <w:rsid w:val="1A024300"/>
    <w:rsid w:val="463777B9"/>
    <w:rsid w:val="48644576"/>
    <w:rsid w:val="62793812"/>
    <w:rsid w:val="63D31D5E"/>
    <w:rsid w:val="66D22C55"/>
    <w:rsid w:val="70DE53D1"/>
    <w:rsid w:val="752A7910"/>
    <w:rsid w:val="76AF0078"/>
    <w:rsid w:val="771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595FEE-74F6-4AF2-B695-94F4A2B0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a"/>
    <w:qFormat/>
    <w:pPr>
      <w:ind w:leftChars="200" w:left="200" w:firstLine="420"/>
    </w:pPr>
    <w:rPr>
      <w:rFonts w:ascii="仿宋_GB2312" w:eastAsia="仿宋_GB2312" w:cs="仿宋_GB2312"/>
      <w:szCs w:val="32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5">
    <w:name w:val="header"/>
    <w:basedOn w:val="a"/>
    <w:link w:val="Char"/>
    <w:rsid w:val="00EC5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C5B52"/>
    <w:rPr>
      <w:rFonts w:ascii="等线" w:eastAsia="等线" w:hAnsi="等线"/>
      <w:kern w:val="2"/>
      <w:sz w:val="18"/>
      <w:szCs w:val="18"/>
    </w:rPr>
  </w:style>
  <w:style w:type="paragraph" w:styleId="a6">
    <w:name w:val="footer"/>
    <w:basedOn w:val="a"/>
    <w:link w:val="Char0"/>
    <w:rsid w:val="00EC5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C5B52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昵称</dc:creator>
  <cp:lastModifiedBy>zoujing</cp:lastModifiedBy>
  <cp:revision>3</cp:revision>
  <dcterms:created xsi:type="dcterms:W3CDTF">2021-07-26T06:57:00Z</dcterms:created>
  <dcterms:modified xsi:type="dcterms:W3CDTF">2022-08-11T07:27:00Z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4615CFBB983F4DCD82EC94CBD5EE2E26</vt:lpwstr>
  </property>
  <property fmtid="{D5CDD505-2E9C-101B-9397-08002B2CF9AE}" pid="4" name="KSOSaveFontToCloudKey">
    <vt:lpwstr>367530379_cloud</vt:lpwstr>
  </property>
</Properties>
</file>