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0A" w:rsidRDefault="00714487">
      <w:pPr>
        <w:jc w:val="distribute"/>
        <w:rPr>
          <w:rFonts w:ascii="Times New Roman" w:eastAsia="楷体_GB2312" w:hAnsi="Times New Roman" w:hint="default"/>
          <w:b/>
          <w:color w:val="FF0000"/>
          <w:sz w:val="144"/>
          <w:szCs w:val="84"/>
        </w:rPr>
      </w:pPr>
      <w:r>
        <w:rPr>
          <w:rFonts w:ascii="Times New Roman" w:eastAsia="楷体_GB2312" w:hAnsi="Times New Roman" w:hint="default"/>
          <w:b/>
          <w:color w:val="FF0000"/>
          <w:sz w:val="144"/>
          <w:szCs w:val="84"/>
        </w:rPr>
        <w:t>统计分析</w:t>
      </w:r>
    </w:p>
    <w:p w:rsidR="00AF680A" w:rsidRDefault="00714487">
      <w:pPr>
        <w:spacing w:line="560" w:lineRule="exact"/>
        <w:jc w:val="center"/>
        <w:rPr>
          <w:rFonts w:ascii="Times New Roman" w:eastAsia="方正仿宋_GBK" w:hAnsi="Times New Roman" w:hint="default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defaul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-1905</wp:posOffset>
                </wp:positionV>
                <wp:extent cx="5628005" cy="33020"/>
                <wp:effectExtent l="0" t="12700" r="127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005" cy="3302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5F3B7" id="直接连接符 2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-.15pt" to="434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" strokecolor="red" strokeweight="2pt"/>
            </w:pict>
          </mc:Fallback>
        </mc:AlternateContent>
      </w:r>
    </w:p>
    <w:p w:rsidR="00AF680A" w:rsidRDefault="00714487">
      <w:pPr>
        <w:spacing w:line="560" w:lineRule="exact"/>
        <w:jc w:val="center"/>
        <w:rPr>
          <w:rFonts w:ascii="Times New Roman" w:eastAsia="方正小标宋_GBK" w:hAnsi="Times New Roman" w:hint="default"/>
          <w:color w:val="000000"/>
          <w:spacing w:val="-11"/>
          <w:sz w:val="44"/>
          <w:szCs w:val="44"/>
        </w:rPr>
      </w:pPr>
      <w:r>
        <w:rPr>
          <w:rFonts w:ascii="Times New Roman" w:eastAsia="方正小标宋_GBK" w:hAnsi="Times New Roman" w:hint="default"/>
          <w:color w:val="000000"/>
          <w:spacing w:val="-11"/>
          <w:sz w:val="44"/>
          <w:szCs w:val="44"/>
        </w:rPr>
        <w:t>迎难而上奋楫笃行，经济运行企稳向好</w:t>
      </w:r>
    </w:p>
    <w:p w:rsidR="00AF680A" w:rsidRDefault="00714487">
      <w:pPr>
        <w:spacing w:line="560" w:lineRule="exact"/>
        <w:jc w:val="right"/>
        <w:rPr>
          <w:rFonts w:ascii="Times New Roman" w:eastAsia="方正楷体_GBK" w:hAnsi="Times New Roman" w:hint="default"/>
          <w:color w:val="000000"/>
          <w:spacing w:val="-11"/>
          <w:sz w:val="32"/>
          <w:szCs w:val="32"/>
        </w:rPr>
      </w:pPr>
      <w:r>
        <w:rPr>
          <w:rFonts w:ascii="Times New Roman" w:eastAsia="方正楷体_GBK" w:hAnsi="Times New Roman" w:hint="default"/>
          <w:color w:val="000000"/>
          <w:spacing w:val="-11"/>
          <w:sz w:val="32"/>
          <w:szCs w:val="32"/>
        </w:rPr>
        <w:t>——</w:t>
      </w:r>
      <w:r>
        <w:rPr>
          <w:rFonts w:ascii="Times New Roman" w:eastAsia="方正楷体_GBK" w:hAnsi="Times New Roman" w:hint="default"/>
          <w:color w:val="000000"/>
          <w:spacing w:val="-11"/>
          <w:sz w:val="32"/>
          <w:szCs w:val="32"/>
        </w:rPr>
        <w:t>全区</w:t>
      </w:r>
      <w:r>
        <w:rPr>
          <w:rFonts w:ascii="Times New Roman" w:eastAsia="方正楷体_GBK" w:hAnsi="Times New Roman" w:hint="default"/>
          <w:color w:val="000000"/>
          <w:spacing w:val="-11"/>
          <w:sz w:val="32"/>
          <w:szCs w:val="32"/>
        </w:rPr>
        <w:t>上半年经济运行情况分析</w:t>
      </w:r>
    </w:p>
    <w:p w:rsidR="00AF680A" w:rsidRDefault="00AF680A">
      <w:pPr>
        <w:pStyle w:val="BodyTextFirstIndent21"/>
        <w:spacing w:line="560" w:lineRule="exact"/>
        <w:ind w:left="420"/>
        <w:rPr>
          <w:rFonts w:ascii="Times New Roman" w:hAnsi="Times New Roman" w:cs="Times New Roman" w:hint="default"/>
        </w:rPr>
      </w:pP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/>
          <w:sz w:val="32"/>
        </w:rPr>
      </w:pPr>
      <w:r>
        <w:rPr>
          <w:rFonts w:ascii="Times New Roman" w:eastAsia="方正仿宋_GBK" w:hAnsi="Times New Roman" w:cs="Times New Roman" w:hint="default"/>
          <w:color w:val="000000"/>
          <w:sz w:val="32"/>
        </w:rPr>
        <w:t>今年以来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，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面对新冠疫情多点散发和外部环境的不确定性，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全区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巩固拓展疫情防控和经济社会发展成果，经济增速虽有所放缓，但大部分指标回落幅度小于全市平均水平，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经济发展的稳定性、协调性和可持续性进一步增强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黑体_GBK" w:hAnsi="Times New Roman" w:cs="Times New Roman" w:hint="default"/>
          <w:color w:val="000000"/>
          <w:sz w:val="32"/>
        </w:rPr>
      </w:pPr>
      <w:r>
        <w:rPr>
          <w:rFonts w:ascii="Times New Roman" w:eastAsia="方正黑体_GBK" w:hAnsi="Times New Roman" w:cs="Times New Roman" w:hint="default"/>
          <w:color w:val="000000"/>
          <w:sz w:val="32"/>
        </w:rPr>
        <w:t>一、</w:t>
      </w:r>
      <w:r>
        <w:rPr>
          <w:rFonts w:ascii="Times New Roman" w:eastAsia="方正黑体_GBK" w:hAnsi="Times New Roman" w:cs="Times New Roman" w:hint="default"/>
          <w:color w:val="000000"/>
          <w:sz w:val="32"/>
        </w:rPr>
        <w:t>主要经济指标完成情况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1.</w:t>
      </w:r>
      <w:r>
        <w:rPr>
          <w:rFonts w:ascii="Times New Roman" w:eastAsia="方正仿宋_GBK" w:hAnsi="Times New Roman" w:cs="Times New Roman" w:hint="default"/>
          <w:b/>
          <w:sz w:val="32"/>
        </w:rPr>
        <w:t>地区生产总值。</w:t>
      </w:r>
      <w:r>
        <w:rPr>
          <w:rFonts w:ascii="Times New Roman" w:eastAsia="方正仿宋_GBK" w:hAnsi="Times New Roman" w:cs="Times New Roman" w:hint="default"/>
          <w:sz w:val="32"/>
        </w:rPr>
        <w:t>初步核算，</w:t>
      </w:r>
      <w:r>
        <w:rPr>
          <w:rFonts w:ascii="Times New Roman" w:eastAsia="方正仿宋_GBK" w:hAnsi="Times New Roman" w:cs="Times New Roman" w:hint="default"/>
          <w:sz w:val="32"/>
        </w:rPr>
        <w:t>上半年全区地区生产总值</w:t>
      </w:r>
      <w:r>
        <w:rPr>
          <w:rFonts w:ascii="Times New Roman" w:eastAsia="方正仿宋_GBK" w:hAnsi="Times New Roman" w:cs="Times New Roman" w:hint="default"/>
          <w:sz w:val="32"/>
        </w:rPr>
        <w:t>602.5</w:t>
      </w:r>
      <w:r>
        <w:rPr>
          <w:rFonts w:ascii="Times New Roman" w:eastAsia="方正仿宋_GBK" w:hAnsi="Times New Roman" w:cs="Times New Roman" w:hint="default"/>
          <w:sz w:val="32"/>
        </w:rPr>
        <w:t>亿元，增长</w:t>
      </w:r>
      <w:r>
        <w:rPr>
          <w:rFonts w:ascii="Times New Roman" w:eastAsia="方正仿宋_GBK" w:hAnsi="Times New Roman" w:cs="Times New Roman" w:hint="default"/>
          <w:sz w:val="32"/>
        </w:rPr>
        <w:t>2.5%</w:t>
      </w:r>
      <w:r>
        <w:rPr>
          <w:rFonts w:ascii="Times New Roman" w:eastAsia="方正仿宋_GBK" w:hAnsi="Times New Roman" w:cs="Times New Roman" w:hint="default"/>
          <w:sz w:val="32"/>
        </w:rPr>
        <w:t>，快于全市</w:t>
      </w:r>
      <w:r>
        <w:rPr>
          <w:rFonts w:ascii="Times New Roman" w:eastAsia="方正仿宋_GBK" w:hAnsi="Times New Roman" w:cs="Times New Roman" w:hint="default"/>
          <w:sz w:val="32"/>
        </w:rPr>
        <w:t>0.8</w:t>
      </w:r>
      <w:r>
        <w:rPr>
          <w:rFonts w:ascii="Times New Roman" w:eastAsia="方正仿宋_GBK" w:hAnsi="Times New Roman" w:cs="Times New Roman" w:hint="default"/>
          <w:sz w:val="32"/>
        </w:rPr>
        <w:t>个百分点，主城第二、全市第三。</w:t>
      </w:r>
      <w:r>
        <w:rPr>
          <w:rFonts w:ascii="Times New Roman" w:eastAsia="方正仿宋_GBK" w:hAnsi="Times New Roman" w:cs="Times New Roman" w:hint="default"/>
          <w:sz w:val="32"/>
        </w:rPr>
        <w:t>其中，第三产业增加值</w:t>
      </w:r>
      <w:r>
        <w:rPr>
          <w:rFonts w:ascii="Times New Roman" w:eastAsia="方正仿宋_GBK" w:hAnsi="Times New Roman" w:cs="Times New Roman" w:hint="default"/>
          <w:sz w:val="32"/>
        </w:rPr>
        <w:t>417.6</w:t>
      </w:r>
      <w:r>
        <w:rPr>
          <w:rFonts w:ascii="Times New Roman" w:eastAsia="方正仿宋_GBK" w:hAnsi="Times New Roman" w:cs="Times New Roman" w:hint="default"/>
          <w:sz w:val="32"/>
        </w:rPr>
        <w:t>亿元，增长</w:t>
      </w:r>
      <w:r>
        <w:rPr>
          <w:rFonts w:ascii="Times New Roman" w:eastAsia="方正仿宋_GBK" w:hAnsi="Times New Roman" w:cs="Times New Roman" w:hint="default"/>
          <w:sz w:val="32"/>
        </w:rPr>
        <w:t>2.5</w:t>
      </w:r>
      <w:r>
        <w:rPr>
          <w:rFonts w:ascii="Times New Roman" w:eastAsia="方正仿宋_GBK" w:hAnsi="Times New Roman" w:cs="Times New Roman" w:hint="default"/>
          <w:sz w:val="32"/>
        </w:rPr>
        <w:t>%</w:t>
      </w:r>
      <w:r>
        <w:rPr>
          <w:rFonts w:ascii="Times New Roman" w:eastAsia="方正仿宋_GBK" w:hAnsi="Times New Roman" w:cs="Times New Roman" w:hint="default"/>
          <w:sz w:val="32"/>
        </w:rPr>
        <w:t>，</w:t>
      </w:r>
      <w:r>
        <w:rPr>
          <w:rFonts w:ascii="Times New Roman" w:eastAsia="方正仿宋_GBK" w:hAnsi="Times New Roman" w:cs="Times New Roman" w:hint="default"/>
          <w:sz w:val="32"/>
        </w:rPr>
        <w:t>占</w:t>
      </w:r>
      <w:r>
        <w:rPr>
          <w:rFonts w:ascii="Times New Roman" w:eastAsia="方正仿宋_GBK" w:hAnsi="Times New Roman" w:cs="Times New Roman" w:hint="default"/>
          <w:sz w:val="32"/>
        </w:rPr>
        <w:t>GDP</w:t>
      </w:r>
      <w:r>
        <w:rPr>
          <w:rFonts w:ascii="Times New Roman" w:eastAsia="方正仿宋_GBK" w:hAnsi="Times New Roman" w:cs="Times New Roman" w:hint="default"/>
          <w:sz w:val="32"/>
        </w:rPr>
        <w:t>比重</w:t>
      </w:r>
      <w:r>
        <w:rPr>
          <w:rFonts w:ascii="Times New Roman" w:eastAsia="方正仿宋_GBK" w:hAnsi="Times New Roman" w:cs="Times New Roman" w:hint="default"/>
          <w:sz w:val="32"/>
        </w:rPr>
        <w:t>69.3%</w:t>
      </w:r>
      <w:r>
        <w:rPr>
          <w:rFonts w:ascii="Times New Roman" w:eastAsia="方正仿宋_GBK" w:hAnsi="Times New Roman" w:cs="Times New Roman" w:hint="default"/>
          <w:sz w:val="32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color w:val="000000"/>
          <w:sz w:val="32"/>
        </w:rPr>
      </w:pP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2.</w:t>
      </w: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固定资产投资。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上半年，全区固定投资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235.8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亿元，增长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-0.5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%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，较一季度收窄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12.5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个百分点。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color w:val="000000"/>
          <w:sz w:val="32"/>
        </w:rPr>
      </w:pP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3.</w:t>
      </w: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社会消费品市场。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上半年，全区实现全口径社会消费品零售总额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239.2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亿元，同比增长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-1.9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%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，高于全市平均增幅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1.3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个百分点，主城第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三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color w:val="000000"/>
          <w:sz w:val="32"/>
        </w:rPr>
      </w:pP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4.</w:t>
      </w: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居民</w:t>
      </w:r>
      <w:r>
        <w:rPr>
          <w:rFonts w:ascii="Times New Roman" w:eastAsia="方正仿宋_GBK" w:hAnsi="Times New Roman" w:cs="Times New Roman" w:hint="default"/>
          <w:b/>
          <w:color w:val="000000"/>
          <w:sz w:val="32"/>
        </w:rPr>
        <w:t>人均可支配收入。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上半年，城镇居民人均可支配收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lastRenderedPageBreak/>
        <w:t>入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39383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元，同比增长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4.1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%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，主城第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一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黑体_GBK" w:hAnsi="Times New Roman" w:cs="Times New Roman" w:hint="default"/>
          <w:sz w:val="32"/>
        </w:rPr>
      </w:pPr>
      <w:r>
        <w:rPr>
          <w:rFonts w:ascii="Times New Roman" w:eastAsia="方正黑体_GBK" w:hAnsi="Times New Roman" w:cs="Times New Roman" w:hint="default"/>
          <w:sz w:val="32"/>
        </w:rPr>
        <w:t>二、</w:t>
      </w:r>
      <w:r>
        <w:rPr>
          <w:rFonts w:ascii="Times New Roman" w:eastAsia="方正黑体_GBK" w:hAnsi="Times New Roman" w:cs="Times New Roman" w:hint="default"/>
          <w:sz w:val="32"/>
        </w:rPr>
        <w:t>主要行业运行情况</w:t>
      </w:r>
    </w:p>
    <w:p w:rsidR="00AF680A" w:rsidRDefault="00714487">
      <w:pPr>
        <w:pStyle w:val="a5"/>
        <w:widowControl/>
        <w:spacing w:beforeAutospacing="0" w:afterAutospacing="0" w:line="560" w:lineRule="exact"/>
        <w:ind w:firstLineChars="200" w:firstLine="641"/>
        <w:rPr>
          <w:rFonts w:ascii="Times New Roman" w:eastAsia="方正仿宋_GBK" w:hAnsi="Times New Roman" w:hint="default"/>
          <w:kern w:val="2"/>
          <w:sz w:val="32"/>
          <w:szCs w:val="32"/>
        </w:rPr>
      </w:pPr>
      <w:r>
        <w:rPr>
          <w:rFonts w:ascii="Times New Roman" w:eastAsia="方正仿宋_GBK" w:hAnsi="Times New Roman" w:hint="default"/>
          <w:b/>
          <w:kern w:val="2"/>
          <w:sz w:val="32"/>
          <w:szCs w:val="32"/>
        </w:rPr>
        <w:t>1.</w:t>
      </w:r>
      <w:r>
        <w:rPr>
          <w:rFonts w:ascii="Times New Roman" w:eastAsia="方正仿宋_GBK" w:hAnsi="Times New Roman" w:hint="default"/>
          <w:b/>
          <w:kern w:val="2"/>
          <w:sz w:val="32"/>
          <w:szCs w:val="32"/>
        </w:rPr>
        <w:t>工业</w:t>
      </w:r>
      <w:r>
        <w:rPr>
          <w:rFonts w:ascii="Times New Roman" w:eastAsia="方正仿宋_GBK" w:hAnsi="Times New Roman" w:hint="default"/>
          <w:b/>
          <w:sz w:val="32"/>
          <w:szCs w:val="32"/>
        </w:rPr>
        <w:t>。</w:t>
      </w:r>
      <w:r>
        <w:rPr>
          <w:rFonts w:ascii="Times New Roman" w:eastAsia="方正仿宋_GBK" w:hAnsi="Times New Roman" w:hint="default"/>
          <w:sz w:val="32"/>
          <w:szCs w:val="32"/>
        </w:rPr>
        <w:t>上半年，全区规模以上工业总产值</w:t>
      </w:r>
      <w:r>
        <w:rPr>
          <w:rFonts w:ascii="Times New Roman" w:eastAsia="方正仿宋_GBK" w:hAnsi="Times New Roman" w:hint="default"/>
          <w:sz w:val="32"/>
          <w:szCs w:val="32"/>
        </w:rPr>
        <w:t>203.7</w:t>
      </w:r>
      <w:r>
        <w:rPr>
          <w:rFonts w:ascii="Times New Roman" w:eastAsia="方正仿宋_GBK" w:hAnsi="Times New Roman" w:hint="default"/>
          <w:sz w:val="32"/>
          <w:szCs w:val="32"/>
        </w:rPr>
        <w:t>亿元，同比增长</w:t>
      </w:r>
      <w:r>
        <w:rPr>
          <w:rFonts w:ascii="Times New Roman" w:eastAsia="方正仿宋_GBK" w:hAnsi="Times New Roman" w:hint="default"/>
          <w:sz w:val="32"/>
          <w:szCs w:val="32"/>
        </w:rPr>
        <w:t>9.2</w:t>
      </w:r>
      <w:r>
        <w:rPr>
          <w:rFonts w:ascii="Times New Roman" w:eastAsia="方正仿宋_GBK" w:hAnsi="Times New Roman" w:hint="default"/>
          <w:sz w:val="32"/>
          <w:szCs w:val="32"/>
        </w:rPr>
        <w:t>%</w:t>
      </w:r>
      <w:r>
        <w:rPr>
          <w:rFonts w:ascii="Times New Roman" w:eastAsia="方正仿宋_GBK" w:hAnsi="Times New Roman" w:hint="default"/>
          <w:sz w:val="32"/>
          <w:szCs w:val="32"/>
        </w:rPr>
        <w:t>。规上</w:t>
      </w:r>
      <w:r>
        <w:rPr>
          <w:rFonts w:ascii="Times New Roman" w:eastAsia="方正仿宋_GBK" w:hAnsi="Times New Roman" w:hint="default"/>
          <w:sz w:val="32"/>
          <w:szCs w:val="32"/>
        </w:rPr>
        <w:t>工业增加值增长</w:t>
      </w:r>
      <w:r>
        <w:rPr>
          <w:rFonts w:ascii="Times New Roman" w:eastAsia="方正仿宋_GBK" w:hAnsi="Times New Roman" w:hint="default"/>
          <w:sz w:val="32"/>
          <w:szCs w:val="32"/>
        </w:rPr>
        <w:t>7.0</w:t>
      </w:r>
      <w:r>
        <w:rPr>
          <w:rFonts w:ascii="Times New Roman" w:eastAsia="方正仿宋_GBK" w:hAnsi="Times New Roman" w:hint="default"/>
          <w:sz w:val="32"/>
          <w:szCs w:val="32"/>
        </w:rPr>
        <w:t>%</w:t>
      </w:r>
      <w:r>
        <w:rPr>
          <w:rFonts w:ascii="Times New Roman" w:eastAsia="方正仿宋_GBK" w:hAnsi="Times New Roman" w:hint="default"/>
          <w:sz w:val="32"/>
          <w:szCs w:val="32"/>
        </w:rPr>
        <w:t>，高于全市</w:t>
      </w:r>
      <w:r>
        <w:rPr>
          <w:rFonts w:ascii="Times New Roman" w:eastAsia="方正仿宋_GBK" w:hAnsi="Times New Roman" w:hint="default"/>
          <w:sz w:val="32"/>
          <w:szCs w:val="32"/>
        </w:rPr>
        <w:t>6.5</w:t>
      </w:r>
      <w:r>
        <w:rPr>
          <w:rFonts w:ascii="Times New Roman" w:eastAsia="方正仿宋_GBK" w:hAnsi="Times New Roman" w:hint="default"/>
          <w:sz w:val="32"/>
          <w:szCs w:val="32"/>
        </w:rPr>
        <w:t>个百分点。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kern w:val="0"/>
          <w:sz w:val="32"/>
          <w:lang w:bidi="ar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2.</w:t>
      </w:r>
      <w:r>
        <w:rPr>
          <w:rFonts w:ascii="Times New Roman" w:eastAsia="方正仿宋_GBK" w:hAnsi="Times New Roman" w:cs="Times New Roman" w:hint="default"/>
          <w:b/>
          <w:sz w:val="32"/>
        </w:rPr>
        <w:t>建筑业。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上半年，全区建筑业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总产值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496.5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11.0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，高于全市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3.5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个百分点；建筑安装工程投资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完成</w:t>
      </w:r>
      <w:r>
        <w:rPr>
          <w:rFonts w:ascii="Times New Roman" w:eastAsia="方正仿宋_GBK" w:hAnsi="Times New Roman" w:cs="Times New Roman" w:hint="default"/>
          <w:bCs/>
          <w:sz w:val="32"/>
        </w:rPr>
        <w:t>76.82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亿元，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-13.2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%</w:t>
      </w:r>
      <w:r>
        <w:rPr>
          <w:rFonts w:ascii="Times New Roman" w:eastAsia="方正仿宋_GBK" w:hAnsi="Times New Roman" w:cs="Times New Roman" w:hint="default"/>
          <w:bCs/>
          <w:sz w:val="32"/>
        </w:rPr>
        <w:t>，增幅较原预计提高近</w:t>
      </w:r>
      <w:r>
        <w:rPr>
          <w:rFonts w:ascii="Times New Roman" w:eastAsia="方正仿宋_GBK" w:hAnsi="Times New Roman" w:cs="Times New Roman" w:hint="default"/>
          <w:bCs/>
          <w:sz w:val="32"/>
        </w:rPr>
        <w:t>10</w:t>
      </w:r>
      <w:r>
        <w:rPr>
          <w:rFonts w:ascii="Times New Roman" w:eastAsia="方正仿宋_GBK" w:hAnsi="Times New Roman" w:cs="Times New Roman" w:hint="default"/>
          <w:bCs/>
          <w:sz w:val="32"/>
        </w:rPr>
        <w:t>个百分点</w:t>
      </w:r>
      <w:r>
        <w:rPr>
          <w:rFonts w:ascii="Times New Roman" w:eastAsia="方正仿宋_GBK" w:hAnsi="Times New Roman" w:cs="Times New Roman" w:hint="default"/>
          <w:bCs/>
          <w:sz w:val="32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sz w:val="32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3.</w:t>
      </w:r>
      <w:r>
        <w:rPr>
          <w:rFonts w:ascii="Times New Roman" w:eastAsia="方正仿宋_GBK" w:hAnsi="Times New Roman" w:cs="Times New Roman" w:hint="default"/>
          <w:b/>
          <w:sz w:val="32"/>
        </w:rPr>
        <w:t>房地产。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上半年，全区商品房销售面积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30.09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万平方米，同比增长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-45.5%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，增幅较原预计提高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15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个百分点，拉低经济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1.7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个百分点，对经济增长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的贡献率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-70.5%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1"/>
        <w:rPr>
          <w:rFonts w:ascii="Times New Roman" w:eastAsia="方正仿宋_GBK" w:hAnsi="Times New Roman" w:cs="Times New Roman" w:hint="default"/>
          <w:kern w:val="0"/>
          <w:sz w:val="32"/>
          <w:lang w:bidi="ar"/>
        </w:rPr>
      </w:pPr>
      <w:r>
        <w:rPr>
          <w:rFonts w:ascii="Times New Roman" w:eastAsia="方正仿宋_GBK" w:hAnsi="Times New Roman" w:cs="Times New Roman" w:hint="default"/>
          <w:b/>
          <w:sz w:val="32"/>
        </w:rPr>
        <w:t>4</w:t>
      </w:r>
      <w:r>
        <w:rPr>
          <w:rFonts w:ascii="Times New Roman" w:eastAsia="方正仿宋_GBK" w:hAnsi="Times New Roman" w:cs="Times New Roman" w:hint="default"/>
          <w:b/>
          <w:sz w:val="32"/>
        </w:rPr>
        <w:t>.</w:t>
      </w:r>
      <w:r>
        <w:rPr>
          <w:rFonts w:ascii="Times New Roman" w:eastAsia="方正仿宋_GBK" w:hAnsi="Times New Roman" w:cs="Times New Roman" w:hint="default"/>
          <w:b/>
          <w:sz w:val="32"/>
        </w:rPr>
        <w:t>批零住餐业。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上半年，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批发业实现销售额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1026.1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12.2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，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高于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全市平均增幅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8.7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个百分点，主城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第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一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；零售业实现销售额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197.0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1.6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；住宿业实现营业额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5.2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-10.6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，高于全市平均增幅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9.1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个百分点，主城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第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一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；餐饮业实现营业额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7.7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0.1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%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，高于全市平均增幅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9.7</w:t>
      </w:r>
      <w:r>
        <w:rPr>
          <w:rFonts w:ascii="Times New Roman" w:eastAsia="方正仿宋_GBK" w:hAnsi="Times New Roman" w:cs="Times New Roman" w:hint="default"/>
          <w:kern w:val="0"/>
          <w:sz w:val="32"/>
          <w:lang w:bidi="ar"/>
        </w:rPr>
        <w:t>个百分点，主城第二。</w:t>
      </w:r>
    </w:p>
    <w:p w:rsidR="00AF680A" w:rsidRDefault="00714487">
      <w:pPr>
        <w:spacing w:line="560" w:lineRule="exact"/>
        <w:ind w:firstLineChars="200" w:firstLine="641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b/>
          <w:sz w:val="32"/>
          <w:szCs w:val="32"/>
        </w:rPr>
        <w:t>5</w:t>
      </w:r>
      <w:r>
        <w:rPr>
          <w:rFonts w:ascii="Times New Roman" w:eastAsia="方正仿宋_GBK" w:hAnsi="Times New Roman" w:hint="default"/>
          <w:b/>
          <w:sz w:val="32"/>
          <w:szCs w:val="32"/>
        </w:rPr>
        <w:t>.</w:t>
      </w:r>
      <w:r>
        <w:rPr>
          <w:rFonts w:ascii="Times New Roman" w:eastAsia="方正仿宋_GBK" w:hAnsi="Times New Roman" w:hint="default"/>
          <w:b/>
          <w:sz w:val="32"/>
          <w:szCs w:val="32"/>
        </w:rPr>
        <w:t>金融业。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上半年，我区金融业实现增加值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188.1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亿元，同比增长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7.6%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，占全市比重达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17.2%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。金融业拉动经济增长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2.28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个百分点，对经济增长的贡献率达到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90.1%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，占全区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GDP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比重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31.2%</w:t>
      </w:r>
      <w:r>
        <w:rPr>
          <w:rFonts w:ascii="Times New Roman" w:eastAsia="方正仿宋_GBK" w:hAnsi="Times New Roman" w:hint="default"/>
          <w:sz w:val="32"/>
          <w:szCs w:val="32"/>
        </w:rPr>
        <w:t>。</w:t>
      </w:r>
    </w:p>
    <w:p w:rsidR="00AF680A" w:rsidRDefault="00714487">
      <w:pPr>
        <w:spacing w:line="560" w:lineRule="exact"/>
        <w:ind w:firstLineChars="200" w:firstLine="641"/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default"/>
          <w:b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 w:hint="default"/>
          <w:b/>
          <w:kern w:val="0"/>
          <w:sz w:val="32"/>
          <w:szCs w:val="32"/>
          <w:lang w:bidi="ar"/>
        </w:rPr>
        <w:t>.</w:t>
      </w:r>
      <w:r>
        <w:rPr>
          <w:rFonts w:ascii="Times New Roman" w:eastAsia="方正仿宋_GBK" w:hAnsi="Times New Roman" w:hint="default"/>
          <w:b/>
          <w:sz w:val="32"/>
          <w:szCs w:val="32"/>
        </w:rPr>
        <w:t>服务业。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1-5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月，全区规上服务业实现营业收入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431.41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亿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lastRenderedPageBreak/>
        <w:t>元，同比增长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19.6%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，高于全市平均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15.1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个百分点，增幅全市第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。参与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GDP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核算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个行业实现营业收入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401.81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亿元，同比增长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21.6%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，高于全市平均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16.1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个百分点，增幅全市第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。分行业看，参与核算的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6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个行业中，商务服务、科技服务、居民服务、文化娱乐等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个行业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增幅均列主城区第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，交通运输业、信息软件业增幅分列主城区第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和第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3</w:t>
      </w:r>
      <w:r>
        <w:rPr>
          <w:rFonts w:ascii="Times New Roman" w:eastAsia="方正仿宋_GBK" w:hAnsi="Times New Roman" w:hint="default"/>
          <w:kern w:val="0"/>
          <w:sz w:val="32"/>
          <w:szCs w:val="32"/>
          <w:lang w:bidi="ar"/>
        </w:rPr>
        <w:t>。</w:t>
      </w:r>
    </w:p>
    <w:p w:rsidR="00AF680A" w:rsidRDefault="00714487">
      <w:pPr>
        <w:pStyle w:val="BodyTextFirstIndent21"/>
        <w:spacing w:line="560" w:lineRule="exact"/>
        <w:ind w:left="420" w:firstLineChars="100" w:firstLine="320"/>
        <w:rPr>
          <w:rFonts w:ascii="Times New Roman" w:eastAsia="方正黑体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黑体_GBK" w:hAnsi="Times New Roman" w:cs="Times New Roman" w:hint="default"/>
          <w:color w:val="000000" w:themeColor="text1"/>
          <w:sz w:val="32"/>
        </w:rPr>
        <w:t>三、政策托底显成效，经济运行出亮点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上半年，国家出台了增值税留抵退税、小规模纳税人税费优惠、小型微利企业所得税优惠等一揽子政策，我区也出台了《助企纾困稳定经济增长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十六条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》等一系列举措，帮助市场主体解决实际困难，为企业减负赋能。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 w:themeColor="text1"/>
          <w:sz w:val="32"/>
        </w:rPr>
        <w:t>一是主导产业蓬勃发展。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推动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金融强核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工程，不断完善金融生态、丰富金融业态、打造创投平台，聚焦产业方向，强化功能保障，努力打造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金融特区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。上半年，金融业总量全市第一，占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GDP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比重首超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30%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 w:themeColor="text1"/>
          <w:sz w:val="32"/>
        </w:rPr>
        <w:t>二是消费活动精彩纷呈。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为刺激消费复苏，举办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欢迎来邺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建邺消费月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等促销费活动，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6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月商业综合体吸引客流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534.73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万人次，实现销售额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7.6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亿元，环比增长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10.48%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。举办时尚消费直播大赛，实现销量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598.41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万件，销售额达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7.25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亿元。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 w:themeColor="text1"/>
          <w:sz w:val="32"/>
        </w:rPr>
        <w:t>三是新增企业拉动有力。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上半年，新增市场主体超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1.2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万户，新增亿元以上企业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56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户，累计新增亿元以上企业认缴资金总额主城第一。新增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四上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单位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49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家，其中批发业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11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家企业，拉动行业增长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3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个百分点，贡献率达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15.7%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；餐饮业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12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家，拉动行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lastRenderedPageBreak/>
        <w:t>业增长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11.8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个百分点，贡献率达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161.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8%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；</w:t>
      </w:r>
    </w:p>
    <w:p w:rsidR="00AF680A" w:rsidRDefault="00714487">
      <w:pPr>
        <w:pStyle w:val="BodyTextFirstIndent21"/>
        <w:spacing w:line="560" w:lineRule="exact"/>
        <w:ind w:left="420" w:firstLineChars="100" w:firstLine="320"/>
        <w:rPr>
          <w:rFonts w:ascii="Times New Roman" w:eastAsia="方正黑体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黑体_GBK" w:hAnsi="Times New Roman" w:cs="Times New Roman" w:hint="default"/>
          <w:color w:val="000000" w:themeColor="text1"/>
          <w:sz w:val="32"/>
        </w:rPr>
        <w:t>四、疫情因素仍存在，风险挑战需警惕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当前，主要经济指标受疫情反复及经济结构化调整，出现阶段性下滑，但也显现出趋势性、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苗头性风险，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需高度关注。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 w:themeColor="text1"/>
          <w:sz w:val="32"/>
        </w:rPr>
        <w:t>一是房地产市场、固定资产投资持续下行。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上半年，商品房销售面积下降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45.5%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，对我区经济形成较重拖累，虽集中挂牌上市多个地块，仍存在存量不优、增量不足的难题。固定资产投资特别建安工程投资已连续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6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月负增长，全市排名靠后。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 w:themeColor="text1"/>
          <w:sz w:val="32"/>
        </w:rPr>
        <w:t>二是社零指标由正转负。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接触性消费受疫情影响出现明显降温，全区社会消费品零售总额增幅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由正转负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，上半年同比下降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1.9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个百分点，主城排位较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1-5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月下降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2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个位次。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hAnsi="Times New Roman" w:cs="Times New Roman" w:hint="default"/>
        </w:rPr>
      </w:pPr>
      <w:r>
        <w:rPr>
          <w:rFonts w:ascii="Times New Roman" w:eastAsia="方正楷体_GBK" w:hAnsi="Times New Roman" w:cs="Times New Roman" w:hint="default"/>
          <w:color w:val="000000"/>
          <w:sz w:val="32"/>
        </w:rPr>
        <w:t>三是劳动工资波动较大。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受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权数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影响，劳动工资增幅存在较大的不确定性，对各行业核算产生影响。上半年，九大参与核算的行业实现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七正两负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，其中商务服务业、科学研究业、教育业等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3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个行业实现进位；水利环境业持平；房地产业等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5</w:t>
      </w:r>
      <w:r>
        <w:rPr>
          <w:rFonts w:ascii="Times New Roman" w:eastAsia="方正仿宋_GBK" w:hAnsi="Times New Roman" w:cs="Times New Roman" w:hint="default"/>
          <w:color w:val="000000"/>
          <w:sz w:val="32"/>
        </w:rPr>
        <w:t>个行业排位倒退。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黑体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黑体_GBK" w:hAnsi="Times New Roman" w:cs="Times New Roman" w:hint="default"/>
          <w:color w:val="000000" w:themeColor="text1"/>
          <w:sz w:val="32"/>
        </w:rPr>
        <w:t>五、</w:t>
      </w:r>
      <w:r>
        <w:rPr>
          <w:rFonts w:ascii="Times New Roman" w:eastAsia="方正黑体_GBK" w:hAnsi="Times New Roman" w:cs="Times New Roman" w:hint="default"/>
          <w:color w:val="000000" w:themeColor="text1"/>
          <w:sz w:val="32"/>
        </w:rPr>
        <w:t>下一步工作</w:t>
      </w:r>
      <w:r>
        <w:rPr>
          <w:rFonts w:ascii="Times New Roman" w:eastAsia="方正黑体_GBK" w:hAnsi="Times New Roman" w:cs="Times New Roman" w:hint="default"/>
          <w:color w:val="000000" w:themeColor="text1"/>
          <w:sz w:val="32"/>
        </w:rPr>
        <w:t>建议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总的来看，疫情反复、需求收缩、预期转弱等因素持续冲击经济恢复进程，下步要牢牢把握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稳字当头、稳中求进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的工作总基调，围绕全年目标任务，统筹疫情防控和经济社会发展，继续做好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六稳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六保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工作，保持经济平稳运行。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/>
          <w:sz w:val="32"/>
        </w:rPr>
      </w:pPr>
      <w:r>
        <w:rPr>
          <w:rFonts w:ascii="Times New Roman" w:eastAsia="方正楷体_GBK" w:hAnsi="Times New Roman" w:cs="Times New Roman" w:hint="default"/>
          <w:color w:val="000000"/>
          <w:sz w:val="32"/>
        </w:rPr>
        <w:t>（一）千方百计保市场主体，激发发展活力。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保市场主体就是保经济基本盘，就能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留得青山，赢得未来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。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一是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要聚焦稳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lastRenderedPageBreak/>
        <w:t>定产业链供应链，加快推动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助企纾困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政策落地见效，继续开展企业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大走访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，全面收集梳理企业发展面临的突出难题，用好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小莫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助企直通车平台，组织跨部门跨层次的工作专班，切实帮助市场主体稳定市场订单、保障产销对接；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二是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针对中小型企业出现招工难用工贵、融资难融资贵以及抗风险能力弱等问题，相关主管部门要多措并举、靠前服务，积极建立与企业动态沟通机制，精心施策帮助企业渡过难关，同时研究制定更具针对性的综合政策体系，在税费减免、金融支持、稳岗扩岗为企业营造更优环境、提供更好服务；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三是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围绕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“3+3”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主导产业发展目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标，精准把握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金融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+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、互联网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+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、生态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+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、文化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+”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等新模式、新业态发展机遇，加强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四上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企业培育，推动本土企业做大做强，不断培育壮大经济新增长点。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/>
          <w:sz w:val="32"/>
        </w:rPr>
        <w:t>（二）想方设法提市场信心，激发消费活力。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今年以来，我区出台一系列稳增长、促消费政策举措，不断巩固消费对经济发展的基础性作用，成效显著。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一是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要持续开展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欢迎来邺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·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清凉邺夏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等促消费活动，提振市场信心、激活消费潜力。借力商业综合体集聚资源，大力发展首店首发经济，加快打造高品质首店经济集聚区，为建设现代化国际消费中心提供强力支撑和示范引领；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二是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加快元通商圈提档升级，畅通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交通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大动脉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、打好产业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组合拳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，形成增长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着力点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，发展多元化、体验式、沉浸式商业模式；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三是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深挖消费潜力，加快新兴消费市场发展，依托直播电商产业园建设，构建集平台、主播、供应链、产业链、企业品牌、物流管理、大数据运营、孵化培训等为一体的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lastRenderedPageBreak/>
        <w:t>直播电商生态圈，为直播电商提供一站式服务解决方案，不断推动线上线下深度融合。</w:t>
      </w:r>
    </w:p>
    <w:p w:rsidR="00AF680A" w:rsidRDefault="00714487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  <w:r>
        <w:rPr>
          <w:rFonts w:ascii="Times New Roman" w:eastAsia="方正楷体_GBK" w:hAnsi="Times New Roman" w:cs="Times New Roman" w:hint="default"/>
          <w:color w:val="000000"/>
          <w:sz w:val="32"/>
        </w:rPr>
        <w:t>（三）全力以赴推项目建设，激发投资活力。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上半年，我区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24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个参与核算的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GDP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支撑指标中，多项指标领跑全市，在工业、贸易、服务业为全市行业发展提供有力支撑，但建安及房地产一直是我们的痛点难点。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一是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加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大对投资项目梳理力度，摸清在建项目个数及投资额度，吃透入库统计政策，对符合纳统条件项目尽快申请入库，尽可能挖掘投资潜力；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二是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聚焦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两新一重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、民生补短板等领域重大项目建设，加速提升重大产业转化成效。在做好招商引资的同时，重视项目的落地和可持续性，促进未落地项目尽快落地、已落地项目尽快开工、已建成项目尽快达产。</w:t>
      </w:r>
      <w:r>
        <w:rPr>
          <w:rFonts w:ascii="Times New Roman" w:eastAsia="方正仿宋_GBK" w:hAnsi="Times New Roman" w:cs="Times New Roman" w:hint="default"/>
          <w:b/>
          <w:bCs/>
          <w:color w:val="000000" w:themeColor="text1"/>
          <w:sz w:val="32"/>
        </w:rPr>
        <w:t>三是</w:t>
      </w:r>
      <w:r>
        <w:rPr>
          <w:rFonts w:ascii="Times New Roman" w:eastAsia="方正仿宋_GBK" w:hAnsi="Times New Roman" w:cs="Times New Roman" w:hint="default"/>
          <w:color w:val="000000" w:themeColor="text1"/>
          <w:sz w:val="32"/>
        </w:rPr>
        <w:t>充分发挥领导包抓和项目建设工作专班的作用，个性化制定任务书、时间表，倒排工期、挂图作战，明确责任、强化保障，协调解决项目建设相关问题，确保实现有效投资。</w:t>
      </w:r>
    </w:p>
    <w:p w:rsidR="00AF680A" w:rsidRDefault="00AF680A">
      <w:pPr>
        <w:spacing w:line="560" w:lineRule="exact"/>
        <w:rPr>
          <w:rFonts w:ascii="Times New Roman" w:eastAsia="方正仿宋_GBK" w:hAnsi="Times New Roman" w:hint="default"/>
          <w:color w:val="000000" w:themeColor="text1"/>
          <w:sz w:val="32"/>
          <w:szCs w:val="32"/>
        </w:rPr>
      </w:pPr>
    </w:p>
    <w:p w:rsidR="00AF680A" w:rsidRDefault="00AF680A">
      <w:pPr>
        <w:pStyle w:val="BodyTextFirstIndent21"/>
        <w:ind w:left="42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</w:p>
    <w:p w:rsidR="00AF680A" w:rsidRDefault="00AF680A">
      <w:pPr>
        <w:pStyle w:val="BodyTextFirstIndent21"/>
        <w:ind w:left="42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</w:p>
    <w:p w:rsidR="00AF680A" w:rsidRDefault="00AF680A">
      <w:pPr>
        <w:pStyle w:val="BodyTextFirstIndent21"/>
        <w:ind w:left="42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</w:p>
    <w:p w:rsidR="00AF680A" w:rsidRDefault="00AF680A">
      <w:pPr>
        <w:pStyle w:val="BodyTextFirstIndent21"/>
        <w:ind w:left="42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</w:p>
    <w:p w:rsidR="00AF680A" w:rsidRDefault="00AF680A">
      <w:pPr>
        <w:pStyle w:val="BodyTextFirstIndent21"/>
        <w:ind w:left="420"/>
        <w:rPr>
          <w:rFonts w:ascii="Times New Roman" w:eastAsia="方正仿宋_GBK" w:hAnsi="Times New Roman" w:cs="Times New Roman" w:hint="default"/>
          <w:color w:val="000000" w:themeColor="text1"/>
          <w:sz w:val="32"/>
        </w:rPr>
      </w:pPr>
    </w:p>
    <w:p w:rsidR="00AF680A" w:rsidRDefault="00AF680A">
      <w:pPr>
        <w:pStyle w:val="BodyTextFirstIndent21"/>
        <w:ind w:left="420"/>
        <w:rPr>
          <w:rFonts w:ascii="Times New Roman" w:eastAsia="方正仿宋_GBK" w:hAnsi="Times New Roman" w:cs="Times New Roman" w:hint="default"/>
          <w:color w:val="000000" w:themeColor="text1"/>
          <w:sz w:val="32"/>
        </w:rPr>
        <w:sectPr w:rsidR="00AF680A">
          <w:footerReference w:type="default" r:id="rId7"/>
          <w:pgSz w:w="11906" w:h="16838"/>
          <w:pgMar w:top="2098" w:right="1474" w:bottom="1701" w:left="1587" w:header="851" w:footer="992" w:gutter="0"/>
          <w:cols w:space="720"/>
          <w:docGrid w:type="lines" w:linePitch="312"/>
        </w:sectPr>
      </w:pPr>
    </w:p>
    <w:p w:rsidR="00AF680A" w:rsidRDefault="00AF680A">
      <w:pPr>
        <w:pStyle w:val="BodyTextFirstIndent21"/>
        <w:spacing w:line="560" w:lineRule="exact"/>
        <w:ind w:left="420"/>
        <w:rPr>
          <w:rFonts w:ascii="Times New Roman" w:hAnsi="Times New Roman" w:cs="Times New Roman" w:hint="default"/>
        </w:rPr>
      </w:pPr>
    </w:p>
    <w:p w:rsidR="00AF680A" w:rsidRDefault="00714487">
      <w:pPr>
        <w:pStyle w:val="BodyTextFirstIndent21"/>
        <w:spacing w:line="560" w:lineRule="exact"/>
        <w:ind w:left="42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.3pt;margin-top:11.45pt;width:656.1pt;height:352.65pt;z-index:-251658240;mso-width-relative:page;mso-height-relative:page">
            <v:imagedata r:id="rId8" o:title=""/>
            <o:lock v:ext="edit" aspectratio="f"/>
          </v:shape>
          <o:OLEObject Type="Embed" ProgID="Excel.Sheet.12" ShapeID="_x0000_s1028" DrawAspect="Content" ObjectID="_1721737405" r:id="rId9"/>
        </w:object>
      </w:r>
    </w:p>
    <w:sectPr w:rsidR="00AF680A">
      <w:pgSz w:w="16838" w:h="11906" w:orient="landscape"/>
      <w:pgMar w:top="2098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4487">
      <w:pPr>
        <w:rPr>
          <w:rFonts w:hint="default"/>
        </w:rPr>
      </w:pPr>
      <w:r>
        <w:separator/>
      </w:r>
    </w:p>
  </w:endnote>
  <w:endnote w:type="continuationSeparator" w:id="0">
    <w:p w:rsidR="00000000" w:rsidRDefault="007144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1" w:subsetted="1" w:fontKey="{C2D5E213-0DB4-4F13-AC90-AD0FFF62CC87}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B9B154D3-8EF7-46C6-8C57-B83E1DCFFF82}"/>
    <w:embedBold r:id="rId3" w:subsetted="1" w:fontKey="{F2B4E718-AC00-4E50-942F-143CAC3542B3}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4" w:subsetted="1" w:fontKey="{CB62CA1C-2067-4C08-817F-74561AF2FF85}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5" w:subsetted="1" w:fontKey="{7C74E72E-14E3-4C11-8305-879FB8EF105F}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6" w:subsetted="1" w:fontKey="{B07593E2-7122-4104-87F8-B7EBBA57B3F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0A" w:rsidRDefault="00714487">
    <w:pPr>
      <w:pStyle w:val="a3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680A" w:rsidRDefault="00714487">
                          <w:pPr>
                            <w:pStyle w:val="a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F680A" w:rsidRDefault="00714487">
                    <w:pPr>
                      <w:pStyle w:val="a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0A" w:rsidRDefault="00714487">
      <w:pPr>
        <w:rPr>
          <w:rFonts w:hint="default"/>
        </w:rPr>
      </w:pPr>
      <w:r>
        <w:separator/>
      </w:r>
    </w:p>
  </w:footnote>
  <w:footnote w:type="continuationSeparator" w:id="0">
    <w:p w:rsidR="00AF680A" w:rsidRDefault="0071448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ZGY2ODU0OWViZGNlYjU5ZTRjMzA4ZTc2NmM2YjkifQ=="/>
  </w:docVars>
  <w:rsids>
    <w:rsidRoot w:val="00172A27"/>
    <w:rsid w:val="00172A27"/>
    <w:rsid w:val="00714487"/>
    <w:rsid w:val="00AF680A"/>
    <w:rsid w:val="010E14A7"/>
    <w:rsid w:val="01565D29"/>
    <w:rsid w:val="027E3BEC"/>
    <w:rsid w:val="067F3B54"/>
    <w:rsid w:val="06F964C9"/>
    <w:rsid w:val="0AC57974"/>
    <w:rsid w:val="0FA70C06"/>
    <w:rsid w:val="0FF941B8"/>
    <w:rsid w:val="141A52F7"/>
    <w:rsid w:val="19583D4B"/>
    <w:rsid w:val="1A9763F0"/>
    <w:rsid w:val="1C7B60E4"/>
    <w:rsid w:val="273F5887"/>
    <w:rsid w:val="27AC7A9A"/>
    <w:rsid w:val="348B0384"/>
    <w:rsid w:val="35B77A09"/>
    <w:rsid w:val="360A5F59"/>
    <w:rsid w:val="3D1804A7"/>
    <w:rsid w:val="3E844C3D"/>
    <w:rsid w:val="42CA4F6E"/>
    <w:rsid w:val="468F19CD"/>
    <w:rsid w:val="46B268EB"/>
    <w:rsid w:val="4D8426F9"/>
    <w:rsid w:val="5376755F"/>
    <w:rsid w:val="54B54496"/>
    <w:rsid w:val="54C3555F"/>
    <w:rsid w:val="559C7FF8"/>
    <w:rsid w:val="5CAC76A3"/>
    <w:rsid w:val="5E8B674A"/>
    <w:rsid w:val="5EC5186B"/>
    <w:rsid w:val="64DA1494"/>
    <w:rsid w:val="695632D6"/>
    <w:rsid w:val="6B5071A3"/>
    <w:rsid w:val="6C6B0C85"/>
    <w:rsid w:val="70D23B95"/>
    <w:rsid w:val="745B4CD3"/>
    <w:rsid w:val="7D3A0F26"/>
    <w:rsid w:val="7F84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AC2B6F1-CFAF-4EF7-AF6A-504F66D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unhideWhenUsed/>
    <w:qFormat/>
    <w:pPr>
      <w:widowControl w:val="0"/>
      <w:jc w:val="both"/>
    </w:pPr>
    <w:rPr>
      <w:rFonts w:ascii="等线" w:eastAsia="等线" w:hAnsi="等线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a"/>
    <w:unhideWhenUsed/>
    <w:qFormat/>
    <w:pPr>
      <w:ind w:leftChars="200" w:left="200" w:firstLine="420"/>
    </w:pPr>
    <w:rPr>
      <w:rFonts w:ascii="仿宋_GB2312" w:eastAsia="仿宋_GB2312" w:cs="仿宋_GB231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Emphasis"/>
    <w:basedOn w:val="a0"/>
    <w:qFormat/>
    <w:rPr>
      <w:i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bCs/>
      <w:color w:val="auto"/>
      <w:sz w:val="32"/>
      <w:szCs w:val="32"/>
      <w:u w:val="none"/>
    </w:rPr>
  </w:style>
  <w:style w:type="character" w:customStyle="1" w:styleId="font91">
    <w:name w:val="font91"/>
    <w:basedOn w:val="a0"/>
    <w:qFormat/>
    <w:rPr>
      <w:rFonts w:ascii="华文中宋" w:eastAsia="华文中宋" w:hAnsi="华文中宋" w:cs="华文中宋" w:hint="eastAsia"/>
      <w:b/>
      <w:bCs/>
      <w:color w:val="auto"/>
      <w:sz w:val="32"/>
      <w:szCs w:val="32"/>
      <w:u w:val="none"/>
    </w:rPr>
  </w:style>
  <w:style w:type="character" w:customStyle="1" w:styleId="font121">
    <w:name w:val="font121"/>
    <w:basedOn w:val="a0"/>
    <w:qFormat/>
    <w:rPr>
      <w:rFonts w:ascii="华文中宋" w:eastAsia="华文中宋" w:hAnsi="华文中宋" w:cs="华文中宋" w:hint="eastAsia"/>
      <w:b/>
      <w:bCs/>
      <w:color w:val="auto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华文中宋" w:eastAsia="华文中宋" w:hAnsi="华文中宋" w:cs="华文中宋" w:hint="eastAsia"/>
      <w:color w:val="auto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auto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华文中宋" w:eastAsia="华文中宋" w:hAnsi="华文中宋" w:cs="华文中宋" w:hint="eastAsia"/>
      <w:b/>
      <w:bCs/>
      <w:color w:val="auto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1.xlsx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zoujing</cp:lastModifiedBy>
  <cp:revision>2</cp:revision>
  <cp:lastPrinted>2022-07-20T02:57:00Z</cp:lastPrinted>
  <dcterms:created xsi:type="dcterms:W3CDTF">2022-07-12T01:09:00Z</dcterms:created>
  <dcterms:modified xsi:type="dcterms:W3CDTF">2022-08-11T07:37:00Z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1C53D2EE91524AD5AA5E6FC92596AD02</vt:lpwstr>
  </property>
</Properties>
</file>