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EC" w:rsidRDefault="00C678EC">
      <w:pPr>
        <w:pStyle w:val="Heading1"/>
        <w:widowControl/>
        <w:shd w:val="clear" w:color="auto" w:fill="F3F3F3"/>
        <w:spacing w:beforeAutospacing="0" w:afterAutospacing="0" w:line="780" w:lineRule="atLeast"/>
        <w:jc w:val="center"/>
        <w:rPr>
          <w:rFonts w:ascii="方正小标宋_GBK" w:eastAsia="方正小标宋_GBK" w:hAnsi="方正小标宋_GBK" w:cs="方正小标宋_GBK"/>
          <w:b w:val="0"/>
          <w:bCs w:val="0"/>
          <w:kern w:val="0"/>
          <w:sz w:val="44"/>
          <w:szCs w:val="44"/>
          <w:shd w:val="clear" w:color="auto" w:fill="F3F3F3"/>
          <w:lang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  <w:shd w:val="clear" w:color="auto" w:fill="F3F3F3"/>
        </w:rPr>
        <w:t>建邺“四强化”构建金融法治环境</w:t>
      </w:r>
    </w:p>
    <w:bookmarkEnd w:id="0"/>
    <w:p w:rsidR="00C678EC" w:rsidRDefault="00C678EC" w:rsidP="008335F0">
      <w:pPr>
        <w:widowControl/>
        <w:shd w:val="clear" w:color="auto" w:fill="F3F3F3"/>
        <w:spacing w:line="560" w:lineRule="exact"/>
        <w:ind w:firstLineChars="200" w:firstLine="31680"/>
        <w:rPr>
          <w:rFonts w:ascii="Times New Roman" w:eastAsia="方正仿宋_GBK" w:hAnsi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为打牢金融业稳健前行的坚固基石，构建稳定、公平、透明金融法治环境，南京市建邺区司法局通过</w:t>
      </w:r>
      <w:r>
        <w:rPr>
          <w:rFonts w:ascii="Times New Roman" w:eastAsia="方正仿宋_GBK" w:hAnsi="Times New Roman"/>
          <w:color w:val="333333"/>
          <w:kern w:val="0"/>
          <w:sz w:val="32"/>
          <w:szCs w:val="32"/>
          <w:shd w:val="clear" w:color="auto" w:fill="F3F3F3"/>
          <w:lang/>
        </w:rPr>
        <w:t>“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四强化</w:t>
      </w:r>
      <w:r>
        <w:rPr>
          <w:rFonts w:ascii="Times New Roman" w:eastAsia="方正仿宋_GBK" w:hAnsi="Times New Roman"/>
          <w:color w:val="333333"/>
          <w:kern w:val="0"/>
          <w:sz w:val="32"/>
          <w:szCs w:val="32"/>
          <w:shd w:val="clear" w:color="auto" w:fill="F3F3F3"/>
          <w:lang/>
        </w:rPr>
        <w:t>”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举措，保障金融行业持续革新和健康发展，为有效防控金融风险营造良好的法治环境。</w:t>
      </w:r>
    </w:p>
    <w:p w:rsidR="00C678EC" w:rsidRDefault="00C678EC" w:rsidP="008335F0">
      <w:pPr>
        <w:widowControl/>
        <w:shd w:val="clear" w:color="auto" w:fill="F3F3F3"/>
        <w:spacing w:line="560" w:lineRule="exact"/>
        <w:ind w:firstLineChars="200" w:firstLine="31680"/>
        <w:rPr>
          <w:rFonts w:ascii="Times New Roman" w:eastAsia="方正仿宋_GBK" w:hAnsi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color w:val="333333"/>
          <w:kern w:val="0"/>
          <w:sz w:val="32"/>
          <w:szCs w:val="32"/>
          <w:shd w:val="clear" w:color="auto" w:fill="F3F3F3"/>
          <w:lang/>
        </w:rPr>
        <w:t>一是强化金融纠纷多元化解机制。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积极构建金融纠纷多元化解平台，携手区法院，共同成立了长三角地区首个金融多元调解中心。借助自主研发的机构端平台，实现了金融纠纷的高效、快速化解。通过非诉讼解决新模式，聚合了金融消费者、银行、保险公司、证券投资公司、律师事务所、调解组织、仲裁机构、法院等多方力量，将金融机构的债权纠纷在诉前调解阶段予以批量化解，为金融业的高质量发展提供了坚实的法治保障。截至</w:t>
      </w:r>
      <w:r>
        <w:rPr>
          <w:rFonts w:ascii="Times New Roman" w:eastAsia="方正仿宋_GBK" w:hAnsi="Times New Roman"/>
          <w:color w:val="333333"/>
          <w:kern w:val="0"/>
          <w:sz w:val="32"/>
          <w:szCs w:val="32"/>
          <w:shd w:val="clear" w:color="auto" w:fill="F3F3F3"/>
          <w:lang/>
        </w:rPr>
        <w:t>2024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年，长三角金融多元调解中心调解成功金融纠纷数量显著增长，</w:t>
      </w:r>
      <w:r>
        <w:rPr>
          <w:rFonts w:ascii="Times New Roman" w:eastAsia="方正仿宋_GBK" w:hAnsi="Times New Roman"/>
          <w:color w:val="333333"/>
          <w:kern w:val="0"/>
          <w:sz w:val="32"/>
          <w:szCs w:val="32"/>
          <w:shd w:val="clear" w:color="auto" w:fill="F3F3F3"/>
          <w:lang/>
        </w:rPr>
        <w:t>2024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年调解成功</w:t>
      </w:r>
      <w:r>
        <w:rPr>
          <w:rFonts w:ascii="Times New Roman" w:eastAsia="方正仿宋_GBK" w:hAnsi="Times New Roman"/>
          <w:color w:val="333333"/>
          <w:kern w:val="0"/>
          <w:sz w:val="32"/>
          <w:szCs w:val="32"/>
          <w:shd w:val="clear" w:color="auto" w:fill="F3F3F3"/>
          <w:lang/>
        </w:rPr>
        <w:t>51891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件，较</w:t>
      </w:r>
      <w:r>
        <w:rPr>
          <w:rFonts w:ascii="Times New Roman" w:eastAsia="方正仿宋_GBK" w:hAnsi="Times New Roman"/>
          <w:color w:val="333333"/>
          <w:kern w:val="0"/>
          <w:sz w:val="32"/>
          <w:szCs w:val="32"/>
          <w:shd w:val="clear" w:color="auto" w:fill="F3F3F3"/>
          <w:lang/>
        </w:rPr>
        <w:t>2023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年增长</w:t>
      </w:r>
      <w:r>
        <w:rPr>
          <w:rFonts w:ascii="Times New Roman" w:eastAsia="方正仿宋_GBK" w:hAnsi="Times New Roman"/>
          <w:color w:val="333333"/>
          <w:kern w:val="0"/>
          <w:sz w:val="32"/>
          <w:szCs w:val="32"/>
          <w:shd w:val="clear" w:color="auto" w:fill="F3F3F3"/>
          <w:lang/>
        </w:rPr>
        <w:t>574%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。</w:t>
      </w:r>
    </w:p>
    <w:p w:rsidR="00C678EC" w:rsidRDefault="00C678EC" w:rsidP="008335F0">
      <w:pPr>
        <w:widowControl/>
        <w:shd w:val="clear" w:color="auto" w:fill="F3F3F3"/>
        <w:spacing w:line="560" w:lineRule="exact"/>
        <w:ind w:firstLineChars="200" w:firstLine="31680"/>
        <w:rPr>
          <w:rFonts w:ascii="Times New Roman" w:eastAsia="方正仿宋_GBK" w:hAnsi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color w:val="333333"/>
          <w:kern w:val="0"/>
          <w:sz w:val="32"/>
          <w:szCs w:val="32"/>
          <w:shd w:val="clear" w:color="auto" w:fill="F3F3F3"/>
          <w:lang/>
        </w:rPr>
        <w:t>二是强化优质法律服务供给体系。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深化法律服务产业园金融法律服务功能，成立金融法律服务中心，为企业提供全生命周期法律服务。积极组织律师深入金融企业，通过法治体检、案例指导、讲座培训等方式，帮助企业精准把握法律需求，提高企业代表的法律风险防控和法务能力，进一步防范化解金融风险。通过</w:t>
      </w:r>
      <w:r>
        <w:rPr>
          <w:rFonts w:ascii="Times New Roman" w:eastAsia="方正仿宋_GBK" w:hAnsi="Times New Roman"/>
          <w:color w:val="333333"/>
          <w:kern w:val="0"/>
          <w:sz w:val="32"/>
          <w:szCs w:val="32"/>
          <w:shd w:val="clear" w:color="auto" w:fill="F3F3F3"/>
          <w:lang/>
        </w:rPr>
        <w:t>“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百所千人助万企</w:t>
      </w:r>
      <w:r>
        <w:rPr>
          <w:rFonts w:ascii="Times New Roman" w:eastAsia="方正仿宋_GBK" w:hAnsi="Times New Roman"/>
          <w:color w:val="333333"/>
          <w:kern w:val="0"/>
          <w:sz w:val="32"/>
          <w:szCs w:val="32"/>
          <w:shd w:val="clear" w:color="auto" w:fill="F3F3F3"/>
          <w:lang/>
        </w:rPr>
        <w:t>”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法律服务集中行动，组织近</w:t>
      </w:r>
      <w:r>
        <w:rPr>
          <w:rFonts w:ascii="Times New Roman" w:eastAsia="方正仿宋_GBK" w:hAnsi="Times New Roman"/>
          <w:color w:val="333333"/>
          <w:kern w:val="0"/>
          <w:sz w:val="32"/>
          <w:szCs w:val="32"/>
          <w:shd w:val="clear" w:color="auto" w:fill="F3F3F3"/>
          <w:lang/>
        </w:rPr>
        <w:t>70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家律师事务所、</w:t>
      </w:r>
      <w:r>
        <w:rPr>
          <w:rFonts w:ascii="Times New Roman" w:eastAsia="方正仿宋_GBK" w:hAnsi="Times New Roman"/>
          <w:color w:val="333333"/>
          <w:kern w:val="0"/>
          <w:sz w:val="32"/>
          <w:szCs w:val="32"/>
          <w:shd w:val="clear" w:color="auto" w:fill="F3F3F3"/>
          <w:lang/>
        </w:rPr>
        <w:t>1000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余名专业律师，与近万家金融机构、中小微企业结对共建。</w:t>
      </w:r>
    </w:p>
    <w:p w:rsidR="00C678EC" w:rsidRDefault="00C678EC" w:rsidP="008335F0">
      <w:pPr>
        <w:widowControl/>
        <w:shd w:val="clear" w:color="auto" w:fill="F3F3F3"/>
        <w:spacing w:line="560" w:lineRule="exact"/>
        <w:ind w:firstLineChars="200" w:firstLine="31680"/>
        <w:rPr>
          <w:rFonts w:ascii="Times New Roman" w:eastAsia="方正仿宋_GBK" w:hAnsi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color w:val="333333"/>
          <w:kern w:val="0"/>
          <w:sz w:val="32"/>
          <w:szCs w:val="32"/>
          <w:shd w:val="clear" w:color="auto" w:fill="F3F3F3"/>
          <w:lang/>
        </w:rPr>
        <w:t>三是强化金融法治宣传教育工作。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联合金融监管局等单位，开展</w:t>
      </w:r>
      <w:r>
        <w:rPr>
          <w:rFonts w:ascii="Times New Roman" w:eastAsia="方正仿宋_GBK" w:hAnsi="Times New Roman"/>
          <w:color w:val="333333"/>
          <w:kern w:val="0"/>
          <w:sz w:val="32"/>
          <w:szCs w:val="32"/>
          <w:shd w:val="clear" w:color="auto" w:fill="F3F3F3"/>
          <w:lang/>
        </w:rPr>
        <w:t>“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普及金融知识、防范金融风险</w:t>
      </w:r>
      <w:r>
        <w:rPr>
          <w:rFonts w:ascii="Times New Roman" w:eastAsia="方正仿宋_GBK" w:hAnsi="Times New Roman"/>
          <w:color w:val="333333"/>
          <w:kern w:val="0"/>
          <w:sz w:val="32"/>
          <w:szCs w:val="32"/>
          <w:shd w:val="clear" w:color="auto" w:fill="F3F3F3"/>
          <w:lang/>
        </w:rPr>
        <w:t>”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系列宣传活动，并通过</w:t>
      </w:r>
      <w:r>
        <w:rPr>
          <w:rFonts w:ascii="Times New Roman" w:eastAsia="方正仿宋_GBK" w:hAnsi="Times New Roman"/>
          <w:color w:val="333333"/>
          <w:kern w:val="0"/>
          <w:sz w:val="32"/>
          <w:szCs w:val="32"/>
          <w:shd w:val="clear" w:color="auto" w:fill="F3F3F3"/>
          <w:lang/>
        </w:rPr>
        <w:t>“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百名律师进万企</w:t>
      </w:r>
      <w:r>
        <w:rPr>
          <w:rFonts w:ascii="Times New Roman" w:eastAsia="方正仿宋_GBK" w:hAnsi="Times New Roman"/>
          <w:color w:val="333333"/>
          <w:kern w:val="0"/>
          <w:sz w:val="32"/>
          <w:szCs w:val="32"/>
          <w:shd w:val="clear" w:color="auto" w:fill="F3F3F3"/>
          <w:lang/>
        </w:rPr>
        <w:t>”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活动，举办企业股权、经济纠纷类法治讲座，深入了解金融企业的法律需求，增强企业合规经营意识，提高企业代表的法律风险防控和法务能力。运用线上线下相结合的方式，拓宽金融法治宣传的覆盖面。线上通过微信公众号平台、社区宣传栏发布金融法律知识，提供普法资料；线下则通过走进社区、校园、企业等，发放宣传手册，举办讲座、展览等活动，普及金融法律知识，增强公众的金融风险防范意识。依托南京</w:t>
      </w:r>
      <w:r>
        <w:rPr>
          <w:rFonts w:ascii="Times New Roman" w:eastAsia="方正仿宋_GBK" w:hAnsi="Times New Roman"/>
          <w:color w:val="333333"/>
          <w:kern w:val="0"/>
          <w:sz w:val="32"/>
          <w:szCs w:val="32"/>
          <w:shd w:val="clear" w:color="auto" w:fill="F3F3F3"/>
          <w:lang/>
        </w:rPr>
        <w:t>·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建邺金融检察</w:t>
      </w:r>
      <w:r>
        <w:rPr>
          <w:rFonts w:ascii="Times New Roman" w:eastAsia="方正仿宋_GBK" w:hAnsi="Times New Roman"/>
          <w:color w:val="333333"/>
          <w:kern w:val="0"/>
          <w:sz w:val="32"/>
          <w:szCs w:val="32"/>
          <w:shd w:val="clear" w:color="auto" w:fill="F3F3F3"/>
          <w:lang/>
        </w:rPr>
        <w:t>+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合规基地省级法治文化示范点，为金融从业人员提供警示教育，强化其合法、廉洁、自律的法治意识。</w:t>
      </w:r>
      <w:r>
        <w:rPr>
          <w:rFonts w:ascii="Times New Roman" w:eastAsia="方正仿宋_GBK" w:hAnsi="Times New Roman"/>
          <w:color w:val="333333"/>
          <w:kern w:val="0"/>
          <w:sz w:val="32"/>
          <w:szCs w:val="32"/>
          <w:shd w:val="clear" w:color="auto" w:fill="F3F3F3"/>
          <w:lang/>
        </w:rPr>
        <w:t>2024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年以来，建邺区共举办各类金融法治服务进社区活动</w:t>
      </w:r>
      <w:r>
        <w:rPr>
          <w:rFonts w:ascii="Times New Roman" w:eastAsia="方正仿宋_GBK" w:hAnsi="Times New Roman"/>
          <w:color w:val="333333"/>
          <w:kern w:val="0"/>
          <w:sz w:val="32"/>
          <w:szCs w:val="32"/>
          <w:shd w:val="clear" w:color="auto" w:fill="F3F3F3"/>
          <w:lang/>
        </w:rPr>
        <w:t>100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余场，惠及</w:t>
      </w:r>
      <w:r>
        <w:rPr>
          <w:rFonts w:ascii="Times New Roman" w:eastAsia="方正仿宋_GBK" w:hAnsi="Times New Roman"/>
          <w:color w:val="333333"/>
          <w:kern w:val="0"/>
          <w:sz w:val="32"/>
          <w:szCs w:val="32"/>
          <w:shd w:val="clear" w:color="auto" w:fill="F3F3F3"/>
          <w:lang/>
        </w:rPr>
        <w:t>2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万多个家庭。</w:t>
      </w:r>
    </w:p>
    <w:p w:rsidR="00C678EC" w:rsidRDefault="00C678EC" w:rsidP="008335F0">
      <w:pPr>
        <w:widowControl/>
        <w:shd w:val="clear" w:color="auto" w:fill="F3F3F3"/>
        <w:spacing w:line="560" w:lineRule="exact"/>
        <w:ind w:firstLineChars="200" w:firstLine="31680"/>
        <w:rPr>
          <w:rFonts w:ascii="Times New Roman" w:eastAsia="方正仿宋_GBK" w:hAnsi="Times New Roman"/>
          <w:color w:val="333333"/>
          <w:kern w:val="0"/>
          <w:sz w:val="32"/>
          <w:szCs w:val="32"/>
          <w:shd w:val="clear" w:color="auto" w:fill="F3F3F3"/>
          <w:lang/>
        </w:rPr>
      </w:pPr>
      <w:r>
        <w:rPr>
          <w:rFonts w:ascii="Times New Roman" w:eastAsia="方正仿宋_GBK" w:hAnsi="Times New Roman" w:hint="eastAsia"/>
          <w:b/>
          <w:bCs/>
          <w:color w:val="333333"/>
          <w:kern w:val="0"/>
          <w:sz w:val="32"/>
          <w:szCs w:val="32"/>
          <w:shd w:val="clear" w:color="auto" w:fill="F3F3F3"/>
          <w:lang/>
        </w:rPr>
        <w:t>四是强化金融合规管理指导力度。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3F3F3"/>
          <w:lang/>
        </w:rPr>
        <w:t>通过多举措帮助企业精准识别并有效应对潜在的法律风险，为金融业高质量发展贡献重要力量。依托金融业高质量发展合规研究中心，深入指导金融企业全面完善合规管理体系。通过打造涵盖事前制度规范制定、事中动态监管执行、事后监督问责落实的全链条合规机制，确保企业在合法合规的轨道上稳健前行。联合举办合规管理培训班、经验交流会等活动，组织资深律师团队深入企业一线，协助开展合规审查、风险评估、合同审核等工作，提升企业合规管理人员的专业素养和实践能力。</w:t>
      </w:r>
    </w:p>
    <w:p w:rsidR="00C678EC" w:rsidRDefault="00C678EC" w:rsidP="008335F0">
      <w:pPr>
        <w:widowControl/>
        <w:shd w:val="clear" w:color="auto" w:fill="F3F3F3"/>
        <w:spacing w:line="560" w:lineRule="exact"/>
        <w:ind w:firstLineChars="200" w:firstLine="31680"/>
        <w:rPr>
          <w:rFonts w:ascii="Times New Roman" w:eastAsia="方正仿宋_GBK" w:hAnsi="Times New Roman"/>
          <w:color w:val="333333"/>
          <w:kern w:val="0"/>
          <w:sz w:val="32"/>
          <w:szCs w:val="32"/>
          <w:shd w:val="clear" w:color="auto" w:fill="F3F3F3"/>
          <w:lang/>
        </w:rPr>
      </w:pPr>
    </w:p>
    <w:p w:rsidR="00C678EC" w:rsidRDefault="00C678EC">
      <w:pPr>
        <w:widowControl/>
        <w:shd w:val="clear" w:color="auto" w:fill="F3F3F3"/>
        <w:spacing w:line="560" w:lineRule="exact"/>
        <w:rPr>
          <w:rFonts w:ascii="Times New Roman" w:eastAsia="方正仿宋_GBK" w:hAnsi="Times New Roman"/>
          <w:color w:val="333333"/>
          <w:kern w:val="0"/>
          <w:sz w:val="32"/>
          <w:szCs w:val="32"/>
          <w:shd w:val="clear" w:color="auto" w:fill="F3F3F3"/>
          <w:lang/>
        </w:rPr>
      </w:pPr>
    </w:p>
    <w:p w:rsidR="00C678EC" w:rsidRDefault="00C678EC"/>
    <w:sectPr w:rsidR="00C678EC" w:rsidSect="00143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E32"/>
    <w:rsid w:val="00143E32"/>
    <w:rsid w:val="008335F0"/>
    <w:rsid w:val="008E0B11"/>
    <w:rsid w:val="00C678EC"/>
    <w:rsid w:val="00CA583A"/>
    <w:rsid w:val="423F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32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3E32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5A5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169</Words>
  <Characters>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建邺“四强化”构建金融法治环境</dc:title>
  <dc:subject/>
  <dc:creator>lenovo</dc:creator>
  <cp:keywords/>
  <dc:description/>
  <cp:lastModifiedBy>俞赟(yuyun)</cp:lastModifiedBy>
  <cp:revision>2</cp:revision>
  <dcterms:created xsi:type="dcterms:W3CDTF">2025-02-14T03:30:00Z</dcterms:created>
  <dcterms:modified xsi:type="dcterms:W3CDTF">2025-02-14T03:30:00Z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eyJoZGlkIjoiZmZlYzQ1ODg1NzgyYzM4NTNjZTE4OWIzZmQ3Zjk4YTQifQ==</vt:lpwstr>
  </property>
  <property fmtid="{D5CDD505-2E9C-101B-9397-08002B2CF9AE}" pid="4" name="ICV">
    <vt:lpwstr>A9360DD85A554883A294962EB93831D7_12</vt:lpwstr>
  </property>
</Properties>
</file>