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EAE28">
      <w:pPr>
        <w:widowControl/>
        <w:shd w:val="clear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/>
          <w:lang w:eastAsia="zh-CN"/>
        </w:rPr>
      </w:pPr>
      <w:bookmarkStart w:id="0" w:name="OLE_LINK1"/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关于组织建邺区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/>
        </w:rPr>
        <w:t>南苑街道银发数字消费券发放试点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参与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遴选的公告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/>
          <w:lang w:val="en-US" w:eastAsia="zh-CN"/>
        </w:rPr>
        <w:t>第一批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/>
          <w:lang w:eastAsia="zh-CN"/>
        </w:rPr>
        <w:t>）</w:t>
      </w:r>
    </w:p>
    <w:p w14:paraId="10613A4C">
      <w:pPr>
        <w:widowControl/>
        <w:shd w:val="clear"/>
        <w:spacing w:line="58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bookmarkStart w:id="2" w:name="_GoBack"/>
      <w:bookmarkEnd w:id="2"/>
    </w:p>
    <w:p w14:paraId="12D3CC0A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南京市民政局、建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邺区民政局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高龄老年人照护服务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，南苑街道拟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通过发放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银发数字消费券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服务高龄老人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  <w:woUserID w:val="2"/>
        </w:rPr>
        <w:t>（80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  <w:woUserID w:val="2"/>
        </w:rPr>
        <w:t>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  <w:woUserID w:val="2"/>
        </w:rPr>
        <w:t>岁以上老人）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现决定开展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消费券试点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参与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服务组织及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遴选申报工作，有关事项公告如下。</w:t>
      </w:r>
    </w:p>
    <w:p w14:paraId="6A2E2D0F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  <w:shd w:val="clear" w:color="auto" w:fill="FFFFFF"/>
        </w:rPr>
        <w:t>一、参与范围</w:t>
      </w:r>
    </w:p>
    <w:p w14:paraId="37DD3A20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建邺区范围内社区居家养老服务组织、承接为老服务的服务商、社会餐饮及银发助餐点、便民服务组织或服务商等，具备响应《南京市政府购买居家养老服务基本项目目录》里相关服务项目资质、技能和经验的服务商。</w:t>
      </w:r>
    </w:p>
    <w:p w14:paraId="405FB379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  <w:shd w:val="clear" w:color="auto" w:fill="FFFFFF"/>
        </w:rPr>
        <w:t>二、基本条件</w:t>
      </w:r>
    </w:p>
    <w:p w14:paraId="45371A26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1.依法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在民政局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  <w:woUserID w:val="2"/>
        </w:rPr>
        <w:t>（或其他业务主管单位）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登记备案的民非组织或在市场监管局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登记注册的独立法人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营业执照在有效期内，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具备较好的实施和售后服务能力。</w:t>
      </w:r>
    </w:p>
    <w:p w14:paraId="4A40F49C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服务组织或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具有良好的商业信誉，无不良经营记录，无虚假宣传、合同欺诈、拖欠货款等行为，近三年未纳入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失信名单，未发生重大服务质量事件、重大生产安全事故等损害消费者和利益相关者权益的风险事件。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组织负责人或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法定代表人没有不良社会影响。</w:t>
      </w:r>
    </w:p>
    <w:p w14:paraId="38D80B57">
      <w:pPr>
        <w:pStyle w:val="7"/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熟悉南京市、建邺区最新养老服务政策，拥有稳定的服务团队，服务项目明码标价，具有养老服务专业的业务技能、具备提供开展上门服务能力，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熟练使用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相关信息化平台及智能手机操作，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按要求上传相关资料，并主动接受社会各方监督，配合做好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银发数字消费平台的服务项目上架、下架、服务监管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等工作；积极协调处理居家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woUserID w:val="2"/>
        </w:rPr>
        <w:t>养老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上门服务中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相关诉求纠纷，不得变相提高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价格，自觉抵制套利套现行为。</w:t>
      </w:r>
    </w:p>
    <w:p w14:paraId="31AD8528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  <w:shd w:val="clear" w:color="auto" w:fill="FFFFFF"/>
        </w:rPr>
        <w:t>三、申报材料</w:t>
      </w:r>
    </w:p>
    <w:p w14:paraId="43314869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营业执照复印件（加盖公章）和法人身份证复印件；</w:t>
      </w:r>
    </w:p>
    <w:p w14:paraId="1ABD5DCD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《法人和非法人组织公共信用信息报告》（2025年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日之后生成）</w:t>
      </w:r>
    </w:p>
    <w:p w14:paraId="627BC083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.《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申报承诺书》和《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申报信息表》。</w:t>
      </w:r>
    </w:p>
    <w:p w14:paraId="03755F50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</w:rPr>
      </w:pPr>
      <w:bookmarkStart w:id="1" w:name="OLE_LINK2"/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  <w:shd w:val="clear" w:color="auto" w:fill="FFFFFF"/>
        </w:rPr>
        <w:t>四、申报时间</w:t>
      </w:r>
    </w:p>
    <w:p w14:paraId="2BBD3A9E">
      <w:pPr>
        <w:pStyle w:val="7"/>
        <w:keepNext w:val="0"/>
        <w:keepLines w:val="0"/>
        <w:pageBreakBefore w:val="0"/>
        <w:widowControl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报名自即日起至2025年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woUserID w:val="2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日止。请有参与意向的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于2025年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woUserID w:val="2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日17:00前，将申报材料纸质版加盖单位公章后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送达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南苑街道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  <w:woUserID w:val="2"/>
        </w:rPr>
        <w:t>基层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民政服务站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  <w:woUserID w:val="2"/>
        </w:rPr>
        <w:t>（建邺区怡康街11号泰山路社区党群服务中心3楼）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，联系人：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高健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woUserID w:val="2"/>
        </w:rPr>
        <w:t>13851881970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bookmarkEnd w:id="1"/>
    </w:p>
    <w:p w14:paraId="65E6606B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highlight w:val="none"/>
          <w:shd w:val="clear" w:color="auto" w:fill="FFFFFF"/>
        </w:rPr>
        <w:t>五、结果确认</w:t>
      </w:r>
    </w:p>
    <w:p w14:paraId="51C5898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南苑街道民生保障办公室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将组织相关部门和专家，对申报的为老服务组织及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进行审核评估，综合考虑其资质、服务能力、信誉等因素，确定入选名单。</w:t>
      </w:r>
    </w:p>
    <w:p w14:paraId="078CE25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2.入选名单将在建邺区人民政府官方网站等平台进行公示，公示期为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个工作日。</w:t>
      </w:r>
    </w:p>
    <w:p w14:paraId="2EF86EC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3.公示期满无异议的，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南苑街道民生保障办公室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将与入选的为老服务组织及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签订合作协议，明确双方的权利和义务，正式纳入建邺区南苑街道银发数字消费券试点参与单位范围。</w:t>
      </w:r>
    </w:p>
    <w:p w14:paraId="7543136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对发现存在不履行价格承诺、“先涨价后补贴”等价格违法行为，以及套取补贴资金的经营主体，第一时间取消参与活动资格，并追缴已使用的补贴资金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同时追究其责任。</w:t>
      </w:r>
    </w:p>
    <w:p w14:paraId="1EF11DFF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</w:p>
    <w:p w14:paraId="341AF2C0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附件：1.《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申报承诺书》</w:t>
      </w:r>
    </w:p>
    <w:p w14:paraId="7110E3C6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2.《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申报信息表》</w:t>
      </w:r>
    </w:p>
    <w:p w14:paraId="1DF8550B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3.南京市政府购买居家养老照护服务基本项目目录</w:t>
      </w:r>
    </w:p>
    <w:p w14:paraId="06772DDD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</w:p>
    <w:p w14:paraId="151C198A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南苑街道民生保障办公室</w:t>
      </w:r>
    </w:p>
    <w:p w14:paraId="457553BC"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woUserID w:val="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日</w:t>
      </w:r>
    </w:p>
    <w:p w14:paraId="5120880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0571C4F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31EDC1D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1CFC90C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1C16AC0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6FCD8B7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3A16B78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2BF38D3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4C0CB5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附件1</w:t>
      </w:r>
    </w:p>
    <w:p w14:paraId="4B86462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  <w:r>
        <w:rPr>
          <w:rStyle w:val="19"/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服务商</w:t>
      </w:r>
      <w:r>
        <w:rPr>
          <w:rStyle w:val="19"/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申报承诺书</w:t>
      </w:r>
    </w:p>
    <w:p w14:paraId="0F477FF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</w:pPr>
    </w:p>
    <w:p w14:paraId="3DF25B0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 本单位所提供的所有申报材料，包括但不限于营业执照、资质证书、服务项目介绍、人员信息等，均真实、准确、完整，不存在任何虚假记载、误导性陈述或重大遗漏。如有不实，本单位愿意承担一切法律责任和由此造成的后果。</w:t>
      </w:r>
    </w:p>
    <w:p w14:paraId="321ED50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 本单位具备开展申报服务项目所需的各项条件，包括场地、设备、人员等，能够按照相关标准和规范提供安全、稳定、高质量的为老服务。在参与银发数字消费券试点期间，将严格遵守国家法律法规和相关政策规定，确保服务的合法性、合规性。</w:t>
      </w:r>
    </w:p>
    <w:p w14:paraId="33E5074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 本单位承诺积极配合银发数字消费券的发放和使用工作，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按照国家、省、市、区相关政府购买居家上门服务相关文件要求提供优质、真实服务；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接入相关系统，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及时响应订单需求，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做好消费券的核销和结算工作，确保消费券的使用便捷、安全、高效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如有违反，愿意接受相关部门的处理，并承担相应的违约责任。</w:t>
      </w:r>
    </w:p>
    <w:p w14:paraId="539B019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 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期间，本单位将提供具有吸引力的优惠措施，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明码标价，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让利老年消费者，不借机提高服务价格或降低服务质量，如有违反，愿意承担相应的赔偿责任。</w:t>
      </w:r>
    </w:p>
    <w:p w14:paraId="4DCDC2B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5. 本单位承诺接受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南苑街道民生保障办公室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及相关部门的监督管理，积极配合检查和审计工作，如实提供所需的各项资料和数据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如有违反，愿意承担相应的法律责任。</w:t>
      </w:r>
    </w:p>
    <w:p w14:paraId="758536B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如本单位在参与银发数字消费券试点过程中，出现任何违法违规行为或违反本承诺书的行为，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南苑街道民生保障办公室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有权取消本单位的参与资格，并追究本单位的相关责任。</w:t>
      </w:r>
    </w:p>
    <w:p w14:paraId="1DCAA79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积极配合并协助相关部门做好消费者信访投诉和纠纷处理等。积极配合民政、审计、财政等相关部门的监督核查，及时汇总销售情况，按要求提供补贴申请资料。承诺所有报送资料真实有效。</w:t>
      </w:r>
    </w:p>
    <w:p w14:paraId="35E9E28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违背以上承诺，愿意承担相关责任，同意有关主管部门取消本单位参与资格、退回已使用的补贴资金，并同意有关主管部门将相关失信信息记录记入公共信用信息系统。严重失信的，同意在相关政府门户网站公开。</w:t>
      </w:r>
    </w:p>
    <w:p w14:paraId="1F9AA5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76FE7661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6A67056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申报单位（公章）:</w:t>
      </w:r>
    </w:p>
    <w:p w14:paraId="1CDBE7D8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337BEF6F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法定代表人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（签字）:</w:t>
      </w:r>
    </w:p>
    <w:p w14:paraId="3510AD4B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6C7CD709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   月   日</w:t>
      </w:r>
    </w:p>
    <w:p w14:paraId="4569B0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4E3B1393">
      <w:pPr>
        <w:shd w:val="clear"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附件2</w:t>
      </w:r>
    </w:p>
    <w:p w14:paraId="6B9C182A">
      <w:pPr>
        <w:shd w:val="clear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服务商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申报信息表</w:t>
      </w:r>
    </w:p>
    <w:tbl>
      <w:tblPr>
        <w:tblStyle w:val="8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532"/>
        <w:gridCol w:w="1525"/>
        <w:gridCol w:w="2722"/>
      </w:tblGrid>
      <w:tr w14:paraId="10B93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B6666">
            <w:pPr>
              <w:widowControl/>
              <w:shd w:val="clear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                                      填报日期：   年  月  日</w:t>
            </w:r>
          </w:p>
        </w:tc>
      </w:tr>
      <w:tr w14:paraId="47D0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492A9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85190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494D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2E64F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4D5A1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63A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609AD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5912E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BC0A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D039C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DB3F4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E7B7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34071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F0B45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8A3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16013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经营范围/品牌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42B76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EAB6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00FF6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营业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额</w:t>
            </w:r>
          </w:p>
          <w:p w14:paraId="4B6BB464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DB121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9F4B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883D3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7B88D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69652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84231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A909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E37BD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43D49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C997C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61D56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39E9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3C17A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08846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C21C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A96F9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承诺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AACF4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我单位按照建邺区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南苑街道银发数字消费券试点参与服务商遴选的公告要求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，保证提供的所有申报数据、材料等信息真实有效，并接受有关部门的监督。如有不实之处，愿承担一切法律责任。</w:t>
            </w:r>
          </w:p>
          <w:p w14:paraId="632CBE78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2521C784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法定代表人（负责人）签字：</w:t>
            </w:r>
          </w:p>
          <w:p w14:paraId="3B33E6B1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盖章（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公章）</w:t>
            </w:r>
          </w:p>
          <w:p w14:paraId="23FAE24E">
            <w:pPr>
              <w:widowControl/>
              <w:shd w:val="clear"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                                         年  月  日</w:t>
            </w:r>
          </w:p>
        </w:tc>
      </w:tr>
    </w:tbl>
    <w:p w14:paraId="1ADCDD3B">
      <w:pPr>
        <w:shd w:val="clear"/>
        <w:rPr>
          <w:rFonts w:hint="default" w:ascii="Times New Roman" w:hAnsi="Times New Roman" w:cs="Times New Roman"/>
          <w:color w:val="auto"/>
        </w:rPr>
      </w:pPr>
    </w:p>
    <w:p w14:paraId="1D1EF393">
      <w:pPr>
        <w:shd w:val="clear"/>
        <w:rPr>
          <w:rFonts w:hint="default" w:ascii="Times New Roman" w:hAnsi="Times New Roman" w:eastAsia="仿宋" w:cs="Times New Roman"/>
          <w:color w:val="auto"/>
        </w:rPr>
        <w:sectPr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</w:rPr>
        <w:br w:type="page"/>
      </w:r>
    </w:p>
    <w:p w14:paraId="13E07FBE">
      <w:pPr>
        <w:shd w:val="clear"/>
        <w:spacing w:line="560" w:lineRule="exact"/>
        <w:rPr>
          <w:rFonts w:hint="default" w:ascii="Times New Roman" w:hAnsi="Times New Roman" w:eastAsia="方正黑体_GBK" w:cs="Times New Roman"/>
          <w:color w:val="auto"/>
          <w:spacing w:val="9"/>
          <w:sz w:val="43"/>
          <w:szCs w:val="4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 w14:paraId="30D63104">
      <w:pPr>
        <w:shd w:val="clear"/>
        <w:spacing w:before="184" w:line="190" w:lineRule="auto"/>
        <w:ind w:firstLine="1792" w:firstLineChars="400"/>
        <w:rPr>
          <w:rFonts w:hint="default" w:ascii="Times New Roman" w:hAnsi="Times New Roman" w:eastAsia="方正小标宋_GBK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spacing w:val="9"/>
          <w:sz w:val="43"/>
          <w:szCs w:val="43"/>
        </w:rPr>
        <w:t>南京市政府购买居家养老照护服务基本项目目录</w:t>
      </w:r>
    </w:p>
    <w:tbl>
      <w:tblPr>
        <w:tblStyle w:val="15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45"/>
        <w:gridCol w:w="1653"/>
        <w:gridCol w:w="8568"/>
        <w:gridCol w:w="1980"/>
      </w:tblGrid>
      <w:tr w14:paraId="204FC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6" w:type="pct"/>
            <w:vAlign w:val="top"/>
          </w:tcPr>
          <w:p w14:paraId="55ACD42C">
            <w:pPr>
              <w:shd w:val="clear"/>
              <w:spacing w:before="211" w:line="231" w:lineRule="auto"/>
              <w:ind w:left="135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374" w:type="pct"/>
            <w:vAlign w:val="top"/>
          </w:tcPr>
          <w:p w14:paraId="24AB20A4">
            <w:pPr>
              <w:shd w:val="clear"/>
              <w:spacing w:before="211" w:line="229" w:lineRule="auto"/>
              <w:ind w:left="144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6"/>
                <w:sz w:val="20"/>
                <w:szCs w:val="20"/>
              </w:rPr>
              <w:t>服务类别</w:t>
            </w:r>
          </w:p>
        </w:tc>
        <w:tc>
          <w:tcPr>
            <w:tcW w:w="592" w:type="pct"/>
            <w:vAlign w:val="top"/>
          </w:tcPr>
          <w:p w14:paraId="3A43832F">
            <w:pPr>
              <w:shd w:val="clear"/>
              <w:spacing w:before="211" w:line="229" w:lineRule="auto"/>
              <w:ind w:left="473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6"/>
                <w:sz w:val="20"/>
                <w:szCs w:val="20"/>
              </w:rPr>
              <w:t>服务项目</w:t>
            </w:r>
          </w:p>
        </w:tc>
        <w:tc>
          <w:tcPr>
            <w:tcW w:w="3068" w:type="pct"/>
            <w:vAlign w:val="top"/>
          </w:tcPr>
          <w:p w14:paraId="7F1AE620">
            <w:pPr>
              <w:shd w:val="clear"/>
              <w:spacing w:before="211" w:line="229" w:lineRule="auto"/>
              <w:ind w:left="4208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6"/>
                <w:sz w:val="20"/>
                <w:szCs w:val="20"/>
              </w:rPr>
              <w:t>服务内容</w:t>
            </w:r>
          </w:p>
        </w:tc>
        <w:tc>
          <w:tcPr>
            <w:tcW w:w="707" w:type="pct"/>
            <w:vAlign w:val="top"/>
          </w:tcPr>
          <w:p w14:paraId="6555CA29">
            <w:pPr>
              <w:shd w:val="clear"/>
              <w:spacing w:before="211" w:line="229" w:lineRule="auto"/>
              <w:ind w:left="437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7"/>
                <w:sz w:val="20"/>
                <w:szCs w:val="20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7"/>
                <w:sz w:val="20"/>
                <w:szCs w:val="20"/>
              </w:rPr>
              <w:t>服务时长</w:t>
            </w:r>
          </w:p>
        </w:tc>
      </w:tr>
      <w:tr w14:paraId="6D2C3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0EC793D5">
            <w:pPr>
              <w:shd w:val="clear"/>
              <w:spacing w:before="195" w:line="195" w:lineRule="auto"/>
              <w:ind w:left="30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280A97B4">
            <w:pPr>
              <w:shd w:val="clear"/>
              <w:spacing w:line="353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25133BC3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助餐</w:t>
            </w:r>
          </w:p>
        </w:tc>
        <w:tc>
          <w:tcPr>
            <w:tcW w:w="592" w:type="pct"/>
            <w:vAlign w:val="top"/>
          </w:tcPr>
          <w:p w14:paraId="59008B4E">
            <w:pPr>
              <w:pStyle w:val="16"/>
              <w:shd w:val="clear"/>
              <w:spacing w:before="159" w:line="230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上门送餐</w:t>
            </w:r>
          </w:p>
        </w:tc>
        <w:tc>
          <w:tcPr>
            <w:tcW w:w="3068" w:type="pct"/>
            <w:vAlign w:val="top"/>
          </w:tcPr>
          <w:p w14:paraId="5E2B0682">
            <w:pPr>
              <w:pStyle w:val="16"/>
              <w:shd w:val="clear"/>
              <w:spacing w:before="159" w:line="230" w:lineRule="auto"/>
              <w:ind w:left="2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及时、准确、安全地将餐饮送达。</w:t>
            </w:r>
          </w:p>
        </w:tc>
        <w:tc>
          <w:tcPr>
            <w:tcW w:w="707" w:type="pct"/>
            <w:vAlign w:val="top"/>
          </w:tcPr>
          <w:p w14:paraId="50C9F4B0">
            <w:pPr>
              <w:pStyle w:val="16"/>
              <w:shd w:val="clear"/>
              <w:spacing w:before="159" w:line="230" w:lineRule="auto"/>
              <w:ind w:left="45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5 分钟计算</w:t>
            </w:r>
          </w:p>
        </w:tc>
      </w:tr>
      <w:tr w14:paraId="24A2D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8A13B82">
            <w:pPr>
              <w:shd w:val="clear"/>
              <w:spacing w:before="195" w:line="195" w:lineRule="auto"/>
              <w:ind w:left="28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0646A4AF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B427552">
            <w:pPr>
              <w:pStyle w:val="16"/>
              <w:shd w:val="clear"/>
              <w:spacing w:before="157" w:line="230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上门做餐</w:t>
            </w:r>
          </w:p>
        </w:tc>
        <w:tc>
          <w:tcPr>
            <w:tcW w:w="3068" w:type="pct"/>
            <w:vAlign w:val="top"/>
          </w:tcPr>
          <w:p w14:paraId="13729A35">
            <w:pPr>
              <w:pStyle w:val="16"/>
              <w:shd w:val="clear"/>
              <w:spacing w:before="157" w:line="231" w:lineRule="auto"/>
              <w:ind w:left="2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尊重服务对象需求，安排膳食（食材服务对象自备）。</w:t>
            </w:r>
          </w:p>
        </w:tc>
        <w:tc>
          <w:tcPr>
            <w:tcW w:w="707" w:type="pct"/>
            <w:vAlign w:val="top"/>
          </w:tcPr>
          <w:p w14:paraId="1CD86E94">
            <w:pPr>
              <w:pStyle w:val="16"/>
              <w:shd w:val="clear"/>
              <w:spacing w:before="157" w:line="232" w:lineRule="auto"/>
              <w:ind w:left="59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  <w:u w:val="single" w:color="auto"/>
              </w:rPr>
              <w:t>分钟</w:t>
            </w:r>
          </w:p>
        </w:tc>
      </w:tr>
      <w:tr w14:paraId="71BE2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67EA5C44">
            <w:pPr>
              <w:shd w:val="clear"/>
              <w:spacing w:before="194" w:line="195" w:lineRule="auto"/>
              <w:ind w:left="29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56E6CEE9">
            <w:pPr>
              <w:shd w:val="clear"/>
              <w:spacing w:line="354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13885A9A">
            <w:pPr>
              <w:pStyle w:val="16"/>
              <w:shd w:val="clear"/>
              <w:spacing w:before="65" w:line="231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助洁</w:t>
            </w:r>
          </w:p>
        </w:tc>
        <w:tc>
          <w:tcPr>
            <w:tcW w:w="592" w:type="pct"/>
            <w:vAlign w:val="top"/>
          </w:tcPr>
          <w:p w14:paraId="1BE6A108">
            <w:pPr>
              <w:pStyle w:val="16"/>
              <w:shd w:val="clear"/>
              <w:spacing w:before="158" w:line="229" w:lineRule="auto"/>
              <w:ind w:left="37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整理床单位</w:t>
            </w:r>
          </w:p>
        </w:tc>
        <w:tc>
          <w:tcPr>
            <w:tcW w:w="3068" w:type="pct"/>
            <w:vAlign w:val="top"/>
          </w:tcPr>
          <w:p w14:paraId="50026AAD">
            <w:pPr>
              <w:pStyle w:val="16"/>
              <w:shd w:val="clear"/>
              <w:spacing w:before="157" w:line="229" w:lineRule="auto"/>
              <w:ind w:left="2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按操作规程操作，保证床单位整洁，服务对象卧位舒适。</w:t>
            </w:r>
          </w:p>
        </w:tc>
        <w:tc>
          <w:tcPr>
            <w:tcW w:w="707" w:type="pct"/>
            <w:vAlign w:val="top"/>
          </w:tcPr>
          <w:p w14:paraId="12157A6D">
            <w:pPr>
              <w:pStyle w:val="16"/>
              <w:shd w:val="clear"/>
              <w:spacing w:before="158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7DDB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FFFF524">
            <w:pPr>
              <w:shd w:val="clear"/>
              <w:spacing w:before="196" w:line="195" w:lineRule="auto"/>
              <w:ind w:left="28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48A6C54C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7FFD6662">
            <w:pPr>
              <w:pStyle w:val="16"/>
              <w:shd w:val="clear"/>
              <w:spacing w:before="160" w:line="229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家务料理</w:t>
            </w:r>
          </w:p>
        </w:tc>
        <w:tc>
          <w:tcPr>
            <w:tcW w:w="3068" w:type="pct"/>
            <w:vAlign w:val="top"/>
          </w:tcPr>
          <w:p w14:paraId="3A853334">
            <w:pPr>
              <w:pStyle w:val="16"/>
              <w:shd w:val="clear"/>
              <w:spacing w:before="158" w:line="233" w:lineRule="auto"/>
              <w:ind w:left="2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整洁居室表层卫生（厨房、卫生间清洁耗材服务对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象自备）。</w:t>
            </w:r>
          </w:p>
        </w:tc>
        <w:tc>
          <w:tcPr>
            <w:tcW w:w="707" w:type="pct"/>
            <w:vAlign w:val="top"/>
          </w:tcPr>
          <w:p w14:paraId="2328B746">
            <w:pPr>
              <w:pStyle w:val="16"/>
              <w:shd w:val="clear"/>
              <w:spacing w:before="161" w:line="232" w:lineRule="auto"/>
              <w:ind w:left="5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29CB9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56" w:type="pct"/>
            <w:vAlign w:val="top"/>
          </w:tcPr>
          <w:p w14:paraId="3A004274">
            <w:pPr>
              <w:shd w:val="clear"/>
              <w:spacing w:line="299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43BBA557">
            <w:pPr>
              <w:shd w:val="clear"/>
              <w:spacing w:before="57" w:line="192" w:lineRule="auto"/>
              <w:ind w:left="29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2AAF75CC">
            <w:pPr>
              <w:shd w:val="clear"/>
              <w:spacing w:line="267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7A32D839">
            <w:pPr>
              <w:shd w:val="clear"/>
              <w:spacing w:line="267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56425F80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助浴</w:t>
            </w:r>
          </w:p>
        </w:tc>
        <w:tc>
          <w:tcPr>
            <w:tcW w:w="592" w:type="pct"/>
            <w:vAlign w:val="top"/>
          </w:tcPr>
          <w:p w14:paraId="55CB7ACF">
            <w:pPr>
              <w:shd w:val="clear"/>
              <w:spacing w:line="253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48CAD54F">
            <w:pPr>
              <w:pStyle w:val="16"/>
              <w:shd w:val="clear"/>
              <w:spacing w:before="65" w:line="230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上门助浴</w:t>
            </w:r>
          </w:p>
        </w:tc>
        <w:tc>
          <w:tcPr>
            <w:tcW w:w="3068" w:type="pct"/>
            <w:vAlign w:val="top"/>
          </w:tcPr>
          <w:p w14:paraId="74E603EB">
            <w:pPr>
              <w:pStyle w:val="16"/>
              <w:shd w:val="clear"/>
              <w:spacing w:before="47"/>
              <w:ind w:left="22" w:right="251" w:hanging="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助浴前为老年人提供血压、血糖、脉搏、体温等检测服务；根据四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季气候状况和老年人居住条件，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采取防寒保暖、防暑降温及浴室内通风等措施；与服务对象签订服务协议，并有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4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2 名工作人员在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场。</w:t>
            </w:r>
          </w:p>
        </w:tc>
        <w:tc>
          <w:tcPr>
            <w:tcW w:w="707" w:type="pct"/>
            <w:vAlign w:val="top"/>
          </w:tcPr>
          <w:p w14:paraId="36ABCAD8">
            <w:pPr>
              <w:shd w:val="clear"/>
              <w:spacing w:line="253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7968E2AB">
            <w:pPr>
              <w:pStyle w:val="16"/>
              <w:shd w:val="clear"/>
              <w:spacing w:before="65" w:line="232" w:lineRule="auto"/>
              <w:ind w:left="59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 xml:space="preserve">60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  <w:u w:val="single" w:color="auto"/>
              </w:rPr>
              <w:t>分钟</w:t>
            </w:r>
          </w:p>
        </w:tc>
      </w:tr>
      <w:tr w14:paraId="6A7F6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56" w:type="pct"/>
            <w:vAlign w:val="top"/>
          </w:tcPr>
          <w:p w14:paraId="3C1080AE">
            <w:pPr>
              <w:shd w:val="clear"/>
              <w:spacing w:before="219" w:line="195" w:lineRule="auto"/>
              <w:ind w:left="29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5AA3C891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7C4AB77B">
            <w:pPr>
              <w:pStyle w:val="16"/>
              <w:shd w:val="clear"/>
              <w:spacing w:before="182" w:line="232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外出助浴</w:t>
            </w:r>
          </w:p>
        </w:tc>
        <w:tc>
          <w:tcPr>
            <w:tcW w:w="3068" w:type="pct"/>
            <w:vAlign w:val="top"/>
          </w:tcPr>
          <w:p w14:paraId="6B833321">
            <w:pPr>
              <w:pStyle w:val="16"/>
              <w:shd w:val="clear"/>
              <w:spacing w:before="46" w:line="234" w:lineRule="auto"/>
              <w:ind w:left="26" w:right="241" w:hanging="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有完善的无障碍设施，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洗浴室必须干、湿区分开，有更衣室、休息室；助浴前为老年人提供血压、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血糖、脉搏、体温等检测服务；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4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签订服务协议。</w:t>
            </w:r>
          </w:p>
        </w:tc>
        <w:tc>
          <w:tcPr>
            <w:tcW w:w="707" w:type="pct"/>
            <w:vAlign w:val="top"/>
          </w:tcPr>
          <w:p w14:paraId="129C1B64">
            <w:pPr>
              <w:pStyle w:val="16"/>
              <w:shd w:val="clear"/>
              <w:spacing w:before="183" w:line="232" w:lineRule="auto"/>
              <w:ind w:left="59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60 分钟</w:t>
            </w:r>
          </w:p>
        </w:tc>
      </w:tr>
      <w:tr w14:paraId="794A8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1DC8ABB5">
            <w:pPr>
              <w:shd w:val="clear"/>
              <w:spacing w:before="200" w:line="192" w:lineRule="auto"/>
              <w:ind w:left="29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1CFE5556">
            <w:pPr>
              <w:shd w:val="clear"/>
              <w:spacing w:line="284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1A191463">
            <w:pPr>
              <w:shd w:val="clear"/>
              <w:spacing w:line="284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7A1189FF">
            <w:pPr>
              <w:shd w:val="clear"/>
              <w:spacing w:line="285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0A097328">
            <w:pPr>
              <w:shd w:val="clear"/>
              <w:spacing w:line="285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55E53287">
            <w:pPr>
              <w:pStyle w:val="16"/>
              <w:shd w:val="clear"/>
              <w:spacing w:before="65" w:line="231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助护</w:t>
            </w:r>
          </w:p>
        </w:tc>
        <w:tc>
          <w:tcPr>
            <w:tcW w:w="592" w:type="pct"/>
            <w:vAlign w:val="top"/>
          </w:tcPr>
          <w:p w14:paraId="784C0B29">
            <w:pPr>
              <w:pStyle w:val="16"/>
              <w:shd w:val="clear"/>
              <w:spacing w:before="159" w:line="231" w:lineRule="auto"/>
              <w:ind w:left="17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面部清洁和梳头</w:t>
            </w:r>
          </w:p>
        </w:tc>
        <w:tc>
          <w:tcPr>
            <w:tcW w:w="3068" w:type="pct"/>
            <w:vAlign w:val="top"/>
          </w:tcPr>
          <w:p w14:paraId="6816925E">
            <w:pPr>
              <w:pStyle w:val="16"/>
              <w:shd w:val="clear"/>
              <w:spacing w:before="158" w:line="229" w:lineRule="auto"/>
              <w:ind w:left="2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头面部清洁及梳理让服务对象选择舒适体位，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帮助其清洁面部、梳理头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发。</w:t>
            </w:r>
          </w:p>
        </w:tc>
        <w:tc>
          <w:tcPr>
            <w:tcW w:w="707" w:type="pct"/>
            <w:vAlign w:val="top"/>
          </w:tcPr>
          <w:p w14:paraId="71C2EB78">
            <w:pPr>
              <w:pStyle w:val="16"/>
              <w:shd w:val="clear"/>
              <w:spacing w:before="159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6B8D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770C2736">
            <w:pPr>
              <w:shd w:val="clear"/>
              <w:spacing w:before="198" w:line="195" w:lineRule="auto"/>
              <w:ind w:left="29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6720080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2C53FD83">
            <w:pPr>
              <w:pStyle w:val="16"/>
              <w:shd w:val="clear"/>
              <w:spacing w:before="159" w:line="232" w:lineRule="auto"/>
              <w:ind w:left="69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0"/>
                <w:szCs w:val="20"/>
              </w:rPr>
              <w:t>洗头</w:t>
            </w:r>
          </w:p>
        </w:tc>
        <w:tc>
          <w:tcPr>
            <w:tcW w:w="3068" w:type="pct"/>
            <w:vAlign w:val="top"/>
          </w:tcPr>
          <w:p w14:paraId="786DF6BD">
            <w:pPr>
              <w:pStyle w:val="16"/>
              <w:shd w:val="clear"/>
              <w:spacing w:before="157" w:line="231" w:lineRule="auto"/>
              <w:ind w:left="2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让服务对象选择舒适体位，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帮助清洗和梳理头发。</w:t>
            </w:r>
          </w:p>
        </w:tc>
        <w:tc>
          <w:tcPr>
            <w:tcW w:w="707" w:type="pct"/>
            <w:vAlign w:val="top"/>
          </w:tcPr>
          <w:p w14:paraId="569B2EBD">
            <w:pPr>
              <w:pStyle w:val="16"/>
              <w:shd w:val="clear"/>
              <w:spacing w:before="160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40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7AC3E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348A51E">
            <w:pPr>
              <w:shd w:val="clear"/>
              <w:spacing w:before="196" w:line="195" w:lineRule="auto"/>
              <w:ind w:left="29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0F1F8B6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5905967">
            <w:pPr>
              <w:pStyle w:val="16"/>
              <w:shd w:val="clear"/>
              <w:spacing w:before="160" w:line="231" w:lineRule="auto"/>
              <w:ind w:left="27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安全护理指导</w:t>
            </w:r>
          </w:p>
        </w:tc>
        <w:tc>
          <w:tcPr>
            <w:tcW w:w="3068" w:type="pct"/>
            <w:vAlign w:val="top"/>
          </w:tcPr>
          <w:p w14:paraId="329C6D1F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根据服务对象的生理机能、居住环境等，对服务对象或其家属进行安全方面的指导。</w:t>
            </w:r>
          </w:p>
        </w:tc>
        <w:tc>
          <w:tcPr>
            <w:tcW w:w="707" w:type="pct"/>
            <w:vAlign w:val="top"/>
          </w:tcPr>
          <w:p w14:paraId="358F473A">
            <w:pPr>
              <w:pStyle w:val="16"/>
              <w:shd w:val="clear"/>
              <w:spacing w:before="160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47ABE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3714B246">
            <w:pPr>
              <w:shd w:val="clear"/>
              <w:spacing w:before="196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10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6325CC5E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5A194BD8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协助更衣</w:t>
            </w:r>
          </w:p>
        </w:tc>
        <w:tc>
          <w:tcPr>
            <w:tcW w:w="3068" w:type="pct"/>
            <w:vAlign w:val="top"/>
          </w:tcPr>
          <w:p w14:paraId="77AF2401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根据服务对象的具体情况，选择合适的更衣方法，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为服务对象穿脱或更换衣物。</w:t>
            </w:r>
          </w:p>
        </w:tc>
        <w:tc>
          <w:tcPr>
            <w:tcW w:w="707" w:type="pct"/>
            <w:vAlign w:val="top"/>
          </w:tcPr>
          <w:p w14:paraId="652A2BD5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5D2AE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56" w:type="pct"/>
            <w:vAlign w:val="top"/>
          </w:tcPr>
          <w:p w14:paraId="315DDDA9">
            <w:pPr>
              <w:shd w:val="clear"/>
              <w:spacing w:before="199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11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BC6D142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450EBEA0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协助移动</w:t>
            </w:r>
          </w:p>
        </w:tc>
        <w:tc>
          <w:tcPr>
            <w:tcW w:w="3068" w:type="pct"/>
            <w:vAlign w:val="top"/>
          </w:tcPr>
          <w:p w14:paraId="26B60F85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根据服务对象的需求，协助服务对象适度活动，选择适宜的移动工具，帮助服务对象。</w:t>
            </w:r>
          </w:p>
        </w:tc>
        <w:tc>
          <w:tcPr>
            <w:tcW w:w="707" w:type="pct"/>
            <w:vAlign w:val="top"/>
          </w:tcPr>
          <w:p w14:paraId="06B8897B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4BEA3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6" w:type="pct"/>
            <w:vAlign w:val="top"/>
          </w:tcPr>
          <w:p w14:paraId="142D0C11">
            <w:pPr>
              <w:shd w:val="clear"/>
              <w:spacing w:before="199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12</w:t>
            </w:r>
          </w:p>
        </w:tc>
        <w:tc>
          <w:tcPr>
            <w:tcW w:w="374" w:type="pct"/>
            <w:vMerge w:val="restart"/>
            <w:tcBorders>
              <w:top w:val="nil"/>
              <w:bottom w:val="nil"/>
            </w:tcBorders>
            <w:vAlign w:val="top"/>
          </w:tcPr>
          <w:p w14:paraId="3E0850E8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7C85BAD">
            <w:pPr>
              <w:pStyle w:val="16"/>
              <w:shd w:val="clear"/>
              <w:spacing w:before="160" w:line="231" w:lineRule="auto"/>
              <w:ind w:left="3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协助进食/水</w:t>
            </w:r>
          </w:p>
        </w:tc>
        <w:tc>
          <w:tcPr>
            <w:tcW w:w="3068" w:type="pct"/>
            <w:vAlign w:val="top"/>
          </w:tcPr>
          <w:p w14:paraId="659008CF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根据服务对象的需求，选择适宜的餐具、进餐体位，提供服务。</w:t>
            </w:r>
          </w:p>
        </w:tc>
        <w:tc>
          <w:tcPr>
            <w:tcW w:w="707" w:type="pct"/>
            <w:vAlign w:val="top"/>
          </w:tcPr>
          <w:p w14:paraId="1DB4C5E7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320A8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7F4DDF4F">
            <w:pPr>
              <w:shd w:val="clear"/>
              <w:spacing w:before="192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13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FEB2D62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20B2F79F">
            <w:pPr>
              <w:pStyle w:val="16"/>
              <w:shd w:val="clear"/>
              <w:spacing w:before="157" w:line="229" w:lineRule="auto"/>
              <w:ind w:left="69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鼻饲</w:t>
            </w:r>
          </w:p>
        </w:tc>
        <w:tc>
          <w:tcPr>
            <w:tcW w:w="3068" w:type="pct"/>
            <w:vAlign w:val="top"/>
          </w:tcPr>
          <w:p w14:paraId="2E3EDE6A">
            <w:pPr>
              <w:pStyle w:val="16"/>
              <w:shd w:val="clear"/>
              <w:spacing w:before="157" w:line="229" w:lineRule="auto"/>
              <w:ind w:left="2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遵规范从胃管内灌注适宜的流质食物、水分和药物。</w:t>
            </w:r>
          </w:p>
        </w:tc>
        <w:tc>
          <w:tcPr>
            <w:tcW w:w="707" w:type="pct"/>
            <w:vAlign w:val="top"/>
          </w:tcPr>
          <w:p w14:paraId="045598FE">
            <w:pPr>
              <w:pStyle w:val="16"/>
              <w:shd w:val="clear"/>
              <w:spacing w:before="156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60F5F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1293C22">
            <w:pPr>
              <w:shd w:val="clear"/>
              <w:spacing w:before="195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14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42B12CD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65B6D9FB">
            <w:pPr>
              <w:pStyle w:val="16"/>
              <w:shd w:val="clear"/>
              <w:spacing w:before="159" w:line="231" w:lineRule="auto"/>
              <w:ind w:left="51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0"/>
                <w:szCs w:val="20"/>
              </w:rPr>
              <w:t>口腔清洁</w:t>
            </w:r>
          </w:p>
        </w:tc>
        <w:tc>
          <w:tcPr>
            <w:tcW w:w="3068" w:type="pct"/>
            <w:vAlign w:val="top"/>
          </w:tcPr>
          <w:p w14:paraId="0BD8EB59">
            <w:pPr>
              <w:pStyle w:val="16"/>
              <w:shd w:val="clear"/>
              <w:spacing w:before="156" w:line="231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协助服务对象选择舒适体位，帮助服务对象清洁口腔。</w:t>
            </w:r>
          </w:p>
        </w:tc>
        <w:tc>
          <w:tcPr>
            <w:tcW w:w="707" w:type="pct"/>
            <w:vAlign w:val="top"/>
          </w:tcPr>
          <w:p w14:paraId="6FBCD55B">
            <w:pPr>
              <w:pStyle w:val="16"/>
              <w:shd w:val="clear"/>
              <w:spacing w:before="159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0BE27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5835E3A0">
            <w:pPr>
              <w:shd w:val="clear"/>
              <w:spacing w:before="195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15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14CD91DB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772D97A">
            <w:pPr>
              <w:pStyle w:val="16"/>
              <w:shd w:val="clear"/>
              <w:spacing w:before="159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协助排痰</w:t>
            </w:r>
          </w:p>
        </w:tc>
        <w:tc>
          <w:tcPr>
            <w:tcW w:w="3068" w:type="pct"/>
            <w:vAlign w:val="top"/>
          </w:tcPr>
          <w:p w14:paraId="73E2C136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根据服务对象的具体情况，选择合适的翻身频次、体位、方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式，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促进排痰。</w:t>
            </w:r>
          </w:p>
        </w:tc>
        <w:tc>
          <w:tcPr>
            <w:tcW w:w="707" w:type="pct"/>
            <w:vAlign w:val="top"/>
          </w:tcPr>
          <w:p w14:paraId="3B7BBAAD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332FF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3A0DEDE">
            <w:pPr>
              <w:shd w:val="clear"/>
              <w:spacing w:before="196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16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175044D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3A17D9AD">
            <w:pPr>
              <w:pStyle w:val="16"/>
              <w:shd w:val="clear"/>
              <w:spacing w:before="157" w:line="231" w:lineRule="auto"/>
              <w:ind w:left="48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0"/>
                <w:szCs w:val="20"/>
              </w:rPr>
              <w:t>会阴清洁</w:t>
            </w:r>
          </w:p>
        </w:tc>
        <w:tc>
          <w:tcPr>
            <w:tcW w:w="3068" w:type="pct"/>
            <w:vAlign w:val="top"/>
          </w:tcPr>
          <w:p w14:paraId="63E246AA">
            <w:pPr>
              <w:pStyle w:val="16"/>
              <w:shd w:val="clear"/>
              <w:spacing w:before="158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根据会阴部有无伤口、有无大小便失禁和留置尿管等，协助服务对象完成会阴部的擦洗或冲洗。</w:t>
            </w:r>
          </w:p>
        </w:tc>
        <w:tc>
          <w:tcPr>
            <w:tcW w:w="707" w:type="pct"/>
            <w:vAlign w:val="top"/>
          </w:tcPr>
          <w:p w14:paraId="4F2A5E26">
            <w:pPr>
              <w:pStyle w:val="16"/>
              <w:shd w:val="clear"/>
              <w:spacing w:before="158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21B83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1C5EC083">
            <w:pPr>
              <w:shd w:val="clear"/>
              <w:spacing w:before="194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17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7A0AC7E3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29061687">
            <w:pPr>
              <w:pStyle w:val="16"/>
              <w:shd w:val="clear"/>
              <w:spacing w:before="158" w:line="231" w:lineRule="auto"/>
              <w:ind w:left="48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失禁照护</w:t>
            </w:r>
          </w:p>
        </w:tc>
        <w:tc>
          <w:tcPr>
            <w:tcW w:w="3068" w:type="pct"/>
            <w:vAlign w:val="top"/>
          </w:tcPr>
          <w:p w14:paraId="49C23DD3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根据服务对象的具体情况，提供相应的清洁照护服务。</w:t>
            </w:r>
          </w:p>
        </w:tc>
        <w:tc>
          <w:tcPr>
            <w:tcW w:w="707" w:type="pct"/>
            <w:vAlign w:val="top"/>
          </w:tcPr>
          <w:p w14:paraId="180BD298">
            <w:pPr>
              <w:pStyle w:val="16"/>
              <w:shd w:val="clear"/>
              <w:spacing w:before="158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51222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1316A860">
            <w:pPr>
              <w:shd w:val="clear"/>
              <w:spacing w:before="197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5F3D2ED9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FFBD986">
            <w:pPr>
              <w:pStyle w:val="16"/>
              <w:shd w:val="clear"/>
              <w:spacing w:before="161" w:line="231" w:lineRule="auto"/>
              <w:ind w:left="27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床上使用便器</w:t>
            </w:r>
          </w:p>
        </w:tc>
        <w:tc>
          <w:tcPr>
            <w:tcW w:w="3068" w:type="pct"/>
            <w:vAlign w:val="top"/>
          </w:tcPr>
          <w:p w14:paraId="68A7EA11">
            <w:pPr>
              <w:pStyle w:val="16"/>
              <w:shd w:val="clear"/>
              <w:spacing w:before="158" w:line="231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根据服务对象的具体情况，协助其使用适宜的便器，满足其需求，并清洁、消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毒便器。</w:t>
            </w:r>
          </w:p>
        </w:tc>
        <w:tc>
          <w:tcPr>
            <w:tcW w:w="707" w:type="pct"/>
            <w:vAlign w:val="top"/>
          </w:tcPr>
          <w:p w14:paraId="287D3F77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309B3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0050AC8">
            <w:pPr>
              <w:shd w:val="clear"/>
              <w:spacing w:before="197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19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22109B21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7FE2CDF3">
            <w:pPr>
              <w:pStyle w:val="16"/>
              <w:shd w:val="clear"/>
              <w:spacing w:before="161" w:line="231" w:lineRule="auto"/>
              <w:ind w:left="37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手指甲修剪</w:t>
            </w:r>
          </w:p>
        </w:tc>
        <w:tc>
          <w:tcPr>
            <w:tcW w:w="3068" w:type="pct"/>
            <w:vAlign w:val="top"/>
          </w:tcPr>
          <w:p w14:paraId="153D03B0">
            <w:pPr>
              <w:pStyle w:val="16"/>
              <w:shd w:val="clear"/>
              <w:spacing w:before="161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根据服务对象的具体情况及个人卫生习惯，选择合适的工具对手指甲适时提供修剪服务。</w:t>
            </w:r>
          </w:p>
        </w:tc>
        <w:tc>
          <w:tcPr>
            <w:tcW w:w="707" w:type="pct"/>
            <w:vAlign w:val="top"/>
          </w:tcPr>
          <w:p w14:paraId="0F1BC9C0">
            <w:pPr>
              <w:pStyle w:val="16"/>
              <w:shd w:val="clear"/>
              <w:spacing w:before="162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31F42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0138F5B">
            <w:pPr>
              <w:shd w:val="clear"/>
              <w:spacing w:before="198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20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280DB964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76B654E3">
            <w:pPr>
              <w:pStyle w:val="16"/>
              <w:shd w:val="clear"/>
              <w:spacing w:before="159" w:line="231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手部清洁</w:t>
            </w:r>
          </w:p>
        </w:tc>
        <w:tc>
          <w:tcPr>
            <w:tcW w:w="3068" w:type="pct"/>
            <w:vAlign w:val="top"/>
          </w:tcPr>
          <w:p w14:paraId="64BDD1FC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根据服务对象的手部皮肤情况，选择适宜的方法提供清洁服务。</w:t>
            </w:r>
          </w:p>
        </w:tc>
        <w:tc>
          <w:tcPr>
            <w:tcW w:w="707" w:type="pct"/>
            <w:vAlign w:val="top"/>
          </w:tcPr>
          <w:p w14:paraId="081B3913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38D78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612A9801">
            <w:pPr>
              <w:shd w:val="clear"/>
              <w:spacing w:before="196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21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5790EB80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4017A04">
            <w:pPr>
              <w:pStyle w:val="16"/>
              <w:shd w:val="clear"/>
              <w:spacing w:before="160" w:line="231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趾甲修剪</w:t>
            </w:r>
          </w:p>
        </w:tc>
        <w:tc>
          <w:tcPr>
            <w:tcW w:w="3068" w:type="pct"/>
            <w:vAlign w:val="top"/>
          </w:tcPr>
          <w:p w14:paraId="37BC39DF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根据服务对象的具体情况及个人卫生习惯，选择合适的工具对趾甲适时提供修剪服务。</w:t>
            </w:r>
          </w:p>
        </w:tc>
        <w:tc>
          <w:tcPr>
            <w:tcW w:w="707" w:type="pct"/>
            <w:vAlign w:val="top"/>
          </w:tcPr>
          <w:p w14:paraId="4624202E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4B1F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05E7D74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22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4633F5D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3F14D40">
            <w:pPr>
              <w:pStyle w:val="16"/>
              <w:shd w:val="clear"/>
              <w:spacing w:before="162" w:line="231" w:lineRule="auto"/>
              <w:ind w:left="48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足部清洁</w:t>
            </w:r>
          </w:p>
        </w:tc>
        <w:tc>
          <w:tcPr>
            <w:tcW w:w="3068" w:type="pct"/>
            <w:vAlign w:val="top"/>
          </w:tcPr>
          <w:p w14:paraId="056BD900">
            <w:pPr>
              <w:pStyle w:val="16"/>
              <w:shd w:val="clear"/>
              <w:spacing w:before="160" w:line="231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根据服务对象的足部皮肤情况，选择适宜的方法提供清洁服务。</w:t>
            </w:r>
          </w:p>
        </w:tc>
        <w:tc>
          <w:tcPr>
            <w:tcW w:w="707" w:type="pct"/>
            <w:vAlign w:val="top"/>
          </w:tcPr>
          <w:p w14:paraId="36FEA904">
            <w:pPr>
              <w:pStyle w:val="16"/>
              <w:shd w:val="clear"/>
              <w:spacing w:before="163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2F7E7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7787160B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23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037DAA24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2FD12AA8">
            <w:pPr>
              <w:pStyle w:val="16"/>
              <w:shd w:val="clear"/>
              <w:spacing w:before="164" w:line="232" w:lineRule="auto"/>
              <w:ind w:left="69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理发</w:t>
            </w:r>
          </w:p>
        </w:tc>
        <w:tc>
          <w:tcPr>
            <w:tcW w:w="3068" w:type="pct"/>
            <w:vAlign w:val="top"/>
          </w:tcPr>
          <w:p w14:paraId="27415561">
            <w:pPr>
              <w:pStyle w:val="16"/>
              <w:shd w:val="clear"/>
              <w:spacing w:before="163" w:line="230" w:lineRule="auto"/>
              <w:ind w:left="3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包含上门洗发、理发、吹干，不含烫发、染发。</w:t>
            </w:r>
          </w:p>
        </w:tc>
        <w:tc>
          <w:tcPr>
            <w:tcW w:w="707" w:type="pct"/>
            <w:vAlign w:val="top"/>
          </w:tcPr>
          <w:p w14:paraId="271CB037">
            <w:pPr>
              <w:pStyle w:val="16"/>
              <w:shd w:val="clear"/>
              <w:spacing w:before="164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60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356F6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6" w:type="pct"/>
            <w:vAlign w:val="top"/>
          </w:tcPr>
          <w:p w14:paraId="76D29914">
            <w:pPr>
              <w:shd w:val="clear"/>
              <w:spacing w:before="200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24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02868283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74123A6">
            <w:pPr>
              <w:pStyle w:val="16"/>
              <w:shd w:val="clear"/>
              <w:spacing w:before="161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协助排便</w:t>
            </w:r>
          </w:p>
        </w:tc>
        <w:tc>
          <w:tcPr>
            <w:tcW w:w="3068" w:type="pct"/>
            <w:vAlign w:val="top"/>
          </w:tcPr>
          <w:p w14:paraId="6A3FA70A">
            <w:pPr>
              <w:pStyle w:val="16"/>
              <w:shd w:val="clear"/>
              <w:spacing w:before="161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根据服务对象的具体情况，选择合适的通便方法，对排便困难老人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提供帮助。</w:t>
            </w:r>
          </w:p>
        </w:tc>
        <w:tc>
          <w:tcPr>
            <w:tcW w:w="707" w:type="pct"/>
            <w:vAlign w:val="top"/>
          </w:tcPr>
          <w:p w14:paraId="0374CD10">
            <w:pPr>
              <w:pStyle w:val="16"/>
              <w:shd w:val="clear"/>
              <w:spacing w:before="162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4A25B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5A792AB1">
            <w:pPr>
              <w:shd w:val="clear"/>
              <w:spacing w:before="197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25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6261A7EB">
            <w:pPr>
              <w:shd w:val="clear"/>
              <w:spacing w:line="379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09CB822C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助医</w:t>
            </w:r>
          </w:p>
        </w:tc>
        <w:tc>
          <w:tcPr>
            <w:tcW w:w="592" w:type="pct"/>
            <w:vAlign w:val="top"/>
          </w:tcPr>
          <w:p w14:paraId="6629935C">
            <w:pPr>
              <w:pStyle w:val="16"/>
              <w:shd w:val="clear"/>
              <w:spacing w:before="161" w:line="229" w:lineRule="auto"/>
              <w:ind w:left="2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生命体征监测</w:t>
            </w:r>
          </w:p>
        </w:tc>
        <w:tc>
          <w:tcPr>
            <w:tcW w:w="3068" w:type="pct"/>
            <w:vAlign w:val="top"/>
          </w:tcPr>
          <w:p w14:paraId="4180EF87">
            <w:pPr>
              <w:pStyle w:val="16"/>
              <w:shd w:val="clear"/>
              <w:spacing w:before="161" w:line="231" w:lineRule="auto"/>
              <w:ind w:left="3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  <w:u w:val="single" w:color="auto"/>
              </w:rPr>
              <w:t xml:space="preserve">包括体温、脉搏、呼吸和血压。 </w:t>
            </w:r>
          </w:p>
        </w:tc>
        <w:tc>
          <w:tcPr>
            <w:tcW w:w="707" w:type="pct"/>
            <w:vAlign w:val="top"/>
          </w:tcPr>
          <w:p w14:paraId="7737FF89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5CB51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6" w:type="pct"/>
            <w:vAlign w:val="top"/>
          </w:tcPr>
          <w:p w14:paraId="1F475529">
            <w:pPr>
              <w:shd w:val="clear"/>
              <w:spacing w:before="221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26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4A075127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7171E86">
            <w:pPr>
              <w:pStyle w:val="16"/>
              <w:shd w:val="clear"/>
              <w:spacing w:before="185" w:line="233" w:lineRule="auto"/>
              <w:ind w:left="48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压疮预防</w:t>
            </w:r>
          </w:p>
        </w:tc>
        <w:tc>
          <w:tcPr>
            <w:tcW w:w="3068" w:type="pct"/>
            <w:vAlign w:val="top"/>
          </w:tcPr>
          <w:p w14:paraId="12DE19C6">
            <w:pPr>
              <w:pStyle w:val="16"/>
              <w:shd w:val="clear"/>
              <w:spacing w:before="51" w:line="234" w:lineRule="auto"/>
              <w:ind w:left="24" w:right="20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sz w:val="20"/>
                <w:szCs w:val="20"/>
              </w:rPr>
              <w:t>对易发生压疮的服务对象采取定时翻身、气垫减压等方法预防压疮的发生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；为服务对象提供心理支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持及压疮护理的健康指导。</w:t>
            </w:r>
          </w:p>
        </w:tc>
        <w:tc>
          <w:tcPr>
            <w:tcW w:w="707" w:type="pct"/>
            <w:vAlign w:val="top"/>
          </w:tcPr>
          <w:p w14:paraId="7F4A0491">
            <w:pPr>
              <w:pStyle w:val="16"/>
              <w:shd w:val="clear"/>
              <w:spacing w:before="186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7A9F0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6" w:type="pct"/>
            <w:vAlign w:val="top"/>
          </w:tcPr>
          <w:p w14:paraId="47EC12FC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27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6D420A63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539F0E45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协助服药</w:t>
            </w:r>
          </w:p>
        </w:tc>
        <w:tc>
          <w:tcPr>
            <w:tcW w:w="3068" w:type="pct"/>
            <w:vAlign w:val="top"/>
          </w:tcPr>
          <w:p w14:paraId="50606672">
            <w:pPr>
              <w:pStyle w:val="16"/>
              <w:shd w:val="clear"/>
              <w:spacing w:before="160" w:line="231" w:lineRule="auto"/>
              <w:ind w:left="2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遵医嘱协助服务对象按时按量服药。</w:t>
            </w:r>
          </w:p>
        </w:tc>
        <w:tc>
          <w:tcPr>
            <w:tcW w:w="707" w:type="pct"/>
            <w:vAlign w:val="top"/>
          </w:tcPr>
          <w:p w14:paraId="472334FA">
            <w:pPr>
              <w:pStyle w:val="16"/>
              <w:shd w:val="clear"/>
              <w:spacing w:before="161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2EC5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15D38211">
            <w:pPr>
              <w:shd w:val="clear"/>
              <w:spacing w:before="192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4F8D66E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3F5DF180">
            <w:pPr>
              <w:pStyle w:val="16"/>
              <w:shd w:val="clear"/>
              <w:spacing w:before="156" w:line="232" w:lineRule="auto"/>
              <w:ind w:left="49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陪同就医</w:t>
            </w:r>
          </w:p>
        </w:tc>
        <w:tc>
          <w:tcPr>
            <w:tcW w:w="3068" w:type="pct"/>
            <w:vAlign w:val="top"/>
          </w:tcPr>
          <w:p w14:paraId="436EA781">
            <w:pPr>
              <w:pStyle w:val="16"/>
              <w:shd w:val="clear"/>
              <w:spacing w:before="157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根据服务对象要求，协助监护人陪送老年人到医院就医。</w:t>
            </w:r>
          </w:p>
        </w:tc>
        <w:tc>
          <w:tcPr>
            <w:tcW w:w="707" w:type="pct"/>
            <w:vAlign w:val="top"/>
          </w:tcPr>
          <w:p w14:paraId="15370606">
            <w:pPr>
              <w:pStyle w:val="16"/>
              <w:shd w:val="clear"/>
              <w:spacing w:before="156" w:line="232" w:lineRule="auto"/>
              <w:ind w:left="5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</w:rPr>
              <w:t xml:space="preserve">180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78B14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0F1EFB0A">
            <w:pPr>
              <w:shd w:val="clear"/>
              <w:spacing w:before="195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29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6BF0F47B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59D0769">
            <w:pPr>
              <w:pStyle w:val="16"/>
              <w:shd w:val="clear"/>
              <w:spacing w:before="159" w:line="231" w:lineRule="auto"/>
              <w:ind w:left="48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代取药品</w:t>
            </w:r>
          </w:p>
        </w:tc>
        <w:tc>
          <w:tcPr>
            <w:tcW w:w="3068" w:type="pct"/>
            <w:vAlign w:val="top"/>
          </w:tcPr>
          <w:p w14:paraId="289EF698">
            <w:pPr>
              <w:pStyle w:val="16"/>
              <w:shd w:val="clear"/>
              <w:spacing w:before="156" w:line="232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根据服务对象要求，根据医嘱、病历代为取药。</w:t>
            </w:r>
          </w:p>
        </w:tc>
        <w:tc>
          <w:tcPr>
            <w:tcW w:w="707" w:type="pct"/>
            <w:vAlign w:val="top"/>
          </w:tcPr>
          <w:p w14:paraId="4BB51ABF">
            <w:pPr>
              <w:pStyle w:val="16"/>
              <w:shd w:val="clear"/>
              <w:spacing w:before="159" w:line="232" w:lineRule="auto"/>
              <w:ind w:left="5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 xml:space="preserve">180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5DBA8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6" w:type="pct"/>
            <w:vAlign w:val="top"/>
          </w:tcPr>
          <w:p w14:paraId="74051175">
            <w:pPr>
              <w:shd w:val="clear"/>
              <w:spacing w:before="217" w:line="195" w:lineRule="auto"/>
              <w:ind w:left="2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271AC58E">
            <w:pPr>
              <w:shd w:val="clear"/>
              <w:spacing w:line="266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6F11CA62">
            <w:pPr>
              <w:shd w:val="clear"/>
              <w:spacing w:line="266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54F736A9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助购</w:t>
            </w:r>
          </w:p>
        </w:tc>
        <w:tc>
          <w:tcPr>
            <w:tcW w:w="592" w:type="pct"/>
            <w:vAlign w:val="top"/>
          </w:tcPr>
          <w:p w14:paraId="648DA033">
            <w:pPr>
              <w:pStyle w:val="16"/>
              <w:shd w:val="clear"/>
              <w:spacing w:before="180" w:line="232" w:lineRule="auto"/>
              <w:ind w:left="69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代缴</w:t>
            </w:r>
          </w:p>
        </w:tc>
        <w:tc>
          <w:tcPr>
            <w:tcW w:w="3068" w:type="pct"/>
            <w:vAlign w:val="top"/>
          </w:tcPr>
          <w:p w14:paraId="423765BA">
            <w:pPr>
              <w:pStyle w:val="16"/>
              <w:shd w:val="clear"/>
              <w:spacing w:before="43" w:line="236" w:lineRule="auto"/>
              <w:ind w:left="21" w:right="203" w:firstLine="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sz w:val="20"/>
                <w:szCs w:val="20"/>
              </w:rPr>
              <w:t>根据服务对象要求，确认代缴事项（包括水、电、气、电话费、物业费等）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并记录准确，凭缴纳凭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证或缴费记录，由老年人或其代理人核实，当面清点钱物。</w:t>
            </w:r>
          </w:p>
        </w:tc>
        <w:tc>
          <w:tcPr>
            <w:tcW w:w="707" w:type="pct"/>
            <w:vAlign w:val="top"/>
          </w:tcPr>
          <w:p w14:paraId="5FFE0271">
            <w:pPr>
              <w:pStyle w:val="16"/>
              <w:shd w:val="clear"/>
              <w:spacing w:before="181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448C1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56" w:type="pct"/>
            <w:vAlign w:val="top"/>
          </w:tcPr>
          <w:p w14:paraId="5924184C">
            <w:pPr>
              <w:shd w:val="clear"/>
              <w:spacing w:line="293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3C7D56F8">
            <w:pPr>
              <w:shd w:val="clear"/>
              <w:spacing w:before="58" w:line="195" w:lineRule="auto"/>
              <w:ind w:left="2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7DB5176B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141E3D5">
            <w:pPr>
              <w:shd w:val="clear"/>
              <w:spacing w:line="250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5BD7014A">
            <w:pPr>
              <w:pStyle w:val="16"/>
              <w:shd w:val="clear"/>
              <w:spacing w:before="65" w:line="232" w:lineRule="auto"/>
              <w:ind w:left="69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代购</w:t>
            </w:r>
          </w:p>
        </w:tc>
        <w:tc>
          <w:tcPr>
            <w:tcW w:w="3068" w:type="pct"/>
            <w:vAlign w:val="top"/>
          </w:tcPr>
          <w:p w14:paraId="58534C0F">
            <w:pPr>
              <w:pStyle w:val="16"/>
              <w:shd w:val="clear"/>
              <w:spacing w:before="45"/>
              <w:ind w:left="20" w:right="111" w:firstLine="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1、根据服务对象需求，确认代购物品种类、品牌、数量、参考价格并记录准确，凭购物凭证或支付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记录，由老年人或其代理人核实，当面清点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钱物；</w:t>
            </w:r>
          </w:p>
          <w:p w14:paraId="6480F639">
            <w:pPr>
              <w:pStyle w:val="16"/>
              <w:shd w:val="clear"/>
              <w:spacing w:before="20" w:line="220" w:lineRule="auto"/>
              <w:ind w:left="1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2、代购内容仅限生活必需品，特殊商品代购需本人或其代理人书面确认，不得代购保健品。</w:t>
            </w:r>
          </w:p>
        </w:tc>
        <w:tc>
          <w:tcPr>
            <w:tcW w:w="707" w:type="pct"/>
            <w:vAlign w:val="top"/>
          </w:tcPr>
          <w:p w14:paraId="19AF05A5">
            <w:pPr>
              <w:shd w:val="clear"/>
              <w:spacing w:line="250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03D16174">
            <w:pPr>
              <w:pStyle w:val="16"/>
              <w:shd w:val="clear"/>
              <w:spacing w:before="65" w:line="232" w:lineRule="auto"/>
              <w:ind w:left="5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 xml:space="preserve">120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441AC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472ED51F">
            <w:pPr>
              <w:shd w:val="clear"/>
              <w:spacing w:before="197" w:line="195" w:lineRule="auto"/>
              <w:ind w:left="2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374" w:type="pct"/>
            <w:vAlign w:val="top"/>
          </w:tcPr>
          <w:p w14:paraId="5A2006B2">
            <w:pPr>
              <w:pStyle w:val="16"/>
              <w:shd w:val="clear"/>
              <w:spacing w:before="159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助学</w:t>
            </w:r>
          </w:p>
        </w:tc>
        <w:tc>
          <w:tcPr>
            <w:tcW w:w="592" w:type="pct"/>
            <w:vAlign w:val="top"/>
          </w:tcPr>
          <w:p w14:paraId="7F407B2A">
            <w:pPr>
              <w:pStyle w:val="16"/>
              <w:shd w:val="clear"/>
              <w:spacing w:before="159" w:line="232" w:lineRule="auto"/>
              <w:ind w:left="69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助学</w:t>
            </w:r>
          </w:p>
        </w:tc>
        <w:tc>
          <w:tcPr>
            <w:tcW w:w="3068" w:type="pct"/>
            <w:vAlign w:val="top"/>
          </w:tcPr>
          <w:p w14:paraId="1B19D397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根据服务对象要求，提供家庭常用智能电器、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手机等使用教学服务。</w:t>
            </w:r>
          </w:p>
        </w:tc>
        <w:tc>
          <w:tcPr>
            <w:tcW w:w="707" w:type="pct"/>
            <w:vAlign w:val="top"/>
          </w:tcPr>
          <w:p w14:paraId="0911CD8A">
            <w:pPr>
              <w:pStyle w:val="16"/>
              <w:shd w:val="clear"/>
              <w:spacing w:before="159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分钟</w:t>
            </w:r>
          </w:p>
        </w:tc>
      </w:tr>
      <w:tr w14:paraId="42536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6" w:type="pct"/>
            <w:vAlign w:val="top"/>
          </w:tcPr>
          <w:p w14:paraId="6AA69D18">
            <w:pPr>
              <w:shd w:val="clear"/>
              <w:spacing w:before="220" w:line="195" w:lineRule="auto"/>
              <w:ind w:left="2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374" w:type="pct"/>
            <w:vAlign w:val="top"/>
          </w:tcPr>
          <w:p w14:paraId="72ADF75F">
            <w:pPr>
              <w:pStyle w:val="16"/>
              <w:shd w:val="clear"/>
              <w:spacing w:before="181" w:line="230" w:lineRule="auto"/>
              <w:ind w:left="15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精神慰藉</w:t>
            </w:r>
          </w:p>
        </w:tc>
        <w:tc>
          <w:tcPr>
            <w:tcW w:w="592" w:type="pct"/>
            <w:vAlign w:val="top"/>
          </w:tcPr>
          <w:p w14:paraId="78FECF5D">
            <w:pPr>
              <w:pStyle w:val="16"/>
              <w:shd w:val="clear"/>
              <w:spacing w:before="181" w:line="231" w:lineRule="auto"/>
              <w:ind w:left="48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精神关爱</w:t>
            </w:r>
          </w:p>
        </w:tc>
        <w:tc>
          <w:tcPr>
            <w:tcW w:w="3068" w:type="pct"/>
            <w:vAlign w:val="top"/>
          </w:tcPr>
          <w:p w14:paraId="082DE5C9">
            <w:pPr>
              <w:pStyle w:val="16"/>
              <w:shd w:val="clear"/>
              <w:spacing w:before="48" w:line="233" w:lineRule="auto"/>
              <w:ind w:left="21" w:right="414" w:firstLine="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sz w:val="20"/>
                <w:szCs w:val="20"/>
              </w:rPr>
              <w:t>根据服务对象的具体情况及个人需求，提供情绪疏导、心理支持、危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机干预、陪同散步（含推轮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</w:rPr>
              <w:t>椅）等服务。</w:t>
            </w:r>
          </w:p>
        </w:tc>
        <w:tc>
          <w:tcPr>
            <w:tcW w:w="707" w:type="pct"/>
            <w:vAlign w:val="top"/>
          </w:tcPr>
          <w:p w14:paraId="4718FB54">
            <w:pPr>
              <w:pStyle w:val="16"/>
              <w:shd w:val="clear"/>
              <w:spacing w:before="182" w:line="232" w:lineRule="auto"/>
              <w:ind w:left="5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</w:rPr>
              <w:t xml:space="preserve">120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1D070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56" w:type="pct"/>
            <w:vAlign w:val="top"/>
          </w:tcPr>
          <w:p w14:paraId="2E79A59E">
            <w:pPr>
              <w:shd w:val="clear"/>
              <w:spacing w:line="276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63D93756">
            <w:pPr>
              <w:pStyle w:val="16"/>
              <w:shd w:val="clear"/>
              <w:spacing w:before="65" w:line="232" w:lineRule="auto"/>
              <w:ind w:left="14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说明</w:t>
            </w:r>
          </w:p>
        </w:tc>
        <w:tc>
          <w:tcPr>
            <w:tcW w:w="4743" w:type="pct"/>
            <w:gridSpan w:val="4"/>
            <w:vAlign w:val="top"/>
          </w:tcPr>
          <w:p w14:paraId="1248BD68">
            <w:pPr>
              <w:pStyle w:val="16"/>
              <w:shd w:val="clear"/>
              <w:spacing w:before="207" w:line="229" w:lineRule="auto"/>
              <w:ind w:left="13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1、以上各项服务应符合相关法律法规及行业规范；</w:t>
            </w:r>
          </w:p>
          <w:p w14:paraId="0C9F78CF">
            <w:pPr>
              <w:pStyle w:val="16"/>
              <w:shd w:val="clear"/>
              <w:spacing w:before="23" w:line="229" w:lineRule="auto"/>
              <w:ind w:left="11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2、超出目录范围的需求，双方协商一致后，签订服务协议，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自行购买服务。</w:t>
            </w:r>
          </w:p>
        </w:tc>
      </w:tr>
    </w:tbl>
    <w:p w14:paraId="6A60365A">
      <w:pPr>
        <w:shd w:val="clear"/>
        <w:spacing w:line="560" w:lineRule="exact"/>
        <w:rPr>
          <w:rFonts w:hint="default" w:ascii="Times New Roman" w:hAnsi="Times New Roman" w:eastAsia="仿宋" w:cs="Times New Roman"/>
          <w:color w:val="auto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" w:linePitch="312" w:charSpace="0"/>
        </w:sectPr>
      </w:pPr>
    </w:p>
    <w:bookmarkEnd w:id="0"/>
    <w:p w14:paraId="7DFEF33E">
      <w:pPr>
        <w:shd w:val="clear"/>
        <w:rPr>
          <w:rFonts w:hint="default" w:ascii="Times New Roman" w:hAnsi="Times New Roman" w:cs="Times New Roman"/>
          <w:color w:val="auto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8DB29-86AA-4829-BA3B-3DA9AC14A4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0134522-86AA-4C8B-9580-41E56FBE03C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EE4B5E3-678C-49A1-8393-9E7B05C26FD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34B0CEC-469D-4BDB-A467-3A8B214D4FC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F6DACD6-905B-40D4-8F98-6544548CB7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B34F85B-C016-4436-859B-B4970062F2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9298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B5B8E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6B5B8E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7823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E8E13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DDA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585A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585A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2577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B1C5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zczNTIwNTBiOGNmNTUyMzM4MzE4NWFmZDZmZTcifQ=="/>
  </w:docVars>
  <w:rsids>
    <w:rsidRoot w:val="001246D6"/>
    <w:rsid w:val="0000378D"/>
    <w:rsid w:val="000075F8"/>
    <w:rsid w:val="000A7E46"/>
    <w:rsid w:val="00106A6C"/>
    <w:rsid w:val="0011344C"/>
    <w:rsid w:val="001246D6"/>
    <w:rsid w:val="0013332E"/>
    <w:rsid w:val="00134D95"/>
    <w:rsid w:val="00185F10"/>
    <w:rsid w:val="001927C3"/>
    <w:rsid w:val="00193786"/>
    <w:rsid w:val="001B7D32"/>
    <w:rsid w:val="001F5FBB"/>
    <w:rsid w:val="00283711"/>
    <w:rsid w:val="002B14F9"/>
    <w:rsid w:val="002C27B6"/>
    <w:rsid w:val="002D49D7"/>
    <w:rsid w:val="002E01C1"/>
    <w:rsid w:val="002F29B0"/>
    <w:rsid w:val="002F3EC3"/>
    <w:rsid w:val="003D0927"/>
    <w:rsid w:val="00413C31"/>
    <w:rsid w:val="00431A02"/>
    <w:rsid w:val="00441793"/>
    <w:rsid w:val="00446DAA"/>
    <w:rsid w:val="004C0E35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D51EB"/>
    <w:rsid w:val="006F2427"/>
    <w:rsid w:val="006F77EC"/>
    <w:rsid w:val="007261C9"/>
    <w:rsid w:val="00760BD2"/>
    <w:rsid w:val="007A5BE5"/>
    <w:rsid w:val="007E0BFF"/>
    <w:rsid w:val="007F343C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C4DC1"/>
    <w:rsid w:val="009F2E6A"/>
    <w:rsid w:val="009F3718"/>
    <w:rsid w:val="00A127AD"/>
    <w:rsid w:val="00A22552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4515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4402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B802F49"/>
    <w:rsid w:val="0C063801"/>
    <w:rsid w:val="13E87509"/>
    <w:rsid w:val="14011A1D"/>
    <w:rsid w:val="149C7998"/>
    <w:rsid w:val="17412956"/>
    <w:rsid w:val="17BD5C5B"/>
    <w:rsid w:val="18E35B95"/>
    <w:rsid w:val="19145D4E"/>
    <w:rsid w:val="1B2B3A18"/>
    <w:rsid w:val="1B49685C"/>
    <w:rsid w:val="1CD51C99"/>
    <w:rsid w:val="1D66703D"/>
    <w:rsid w:val="1FD35663"/>
    <w:rsid w:val="22E47D2B"/>
    <w:rsid w:val="276D2C3D"/>
    <w:rsid w:val="282D2989"/>
    <w:rsid w:val="2A610BA4"/>
    <w:rsid w:val="2BF841FE"/>
    <w:rsid w:val="2D7A154A"/>
    <w:rsid w:val="30591DD7"/>
    <w:rsid w:val="308E5F8F"/>
    <w:rsid w:val="31C935C8"/>
    <w:rsid w:val="32755BEE"/>
    <w:rsid w:val="33DA14EB"/>
    <w:rsid w:val="36FC1C2C"/>
    <w:rsid w:val="37A63768"/>
    <w:rsid w:val="38613F89"/>
    <w:rsid w:val="391F5B33"/>
    <w:rsid w:val="3A0240C2"/>
    <w:rsid w:val="3A564022"/>
    <w:rsid w:val="3CF90C34"/>
    <w:rsid w:val="3DD77995"/>
    <w:rsid w:val="4224329E"/>
    <w:rsid w:val="44E34E68"/>
    <w:rsid w:val="4A9E5825"/>
    <w:rsid w:val="50905DBE"/>
    <w:rsid w:val="52302EF2"/>
    <w:rsid w:val="52354064"/>
    <w:rsid w:val="53936322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6123D41"/>
    <w:rsid w:val="67F755C5"/>
    <w:rsid w:val="68106CAE"/>
    <w:rsid w:val="6EE0001C"/>
    <w:rsid w:val="6F8A214A"/>
    <w:rsid w:val="710870BC"/>
    <w:rsid w:val="7127158C"/>
    <w:rsid w:val="728D4C11"/>
    <w:rsid w:val="73422CFE"/>
    <w:rsid w:val="74065409"/>
    <w:rsid w:val="771A2CE7"/>
    <w:rsid w:val="779276DF"/>
    <w:rsid w:val="786A3CD2"/>
    <w:rsid w:val="79195E1D"/>
    <w:rsid w:val="7D7A31C2"/>
    <w:rsid w:val="7DFD7B0D"/>
    <w:rsid w:val="7E335899"/>
    <w:rsid w:val="BEFF0511"/>
    <w:rsid w:val="FFFE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  <w:style w:type="character" w:customStyle="1" w:styleId="20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10</Pages>
  <Words>2957</Words>
  <Characters>3038</Characters>
  <Lines>57</Lines>
  <Paragraphs>16</Paragraphs>
  <TotalTime>6</TotalTime>
  <ScaleCrop>false</ScaleCrop>
  <LinksUpToDate>false</LinksUpToDate>
  <CharactersWithSpaces>3230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2025-03-17T18:16:00Z</dcterms:created>
  <dc:creator>admin</dc:creator>
  <cp:lastModifiedBy>sweety</cp:lastModifiedBy>
  <cp:lastPrinted>2025-05-11T22:25:00Z</cp:lastPrinted>
  <dcterms:modified xsi:type="dcterms:W3CDTF">2025-05-22T01:29:38Z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eyJoZGlkIjoiNGEwOTcxMDZmNjlkMGUxMjk0NmM3OWQ3YmViNGVkYmIiLCJ1c2VySWQiOiI1MzE5NDAzNjUifQ==</vt:lpwstr>
  </property>
  <property fmtid="{D5CDD505-2E9C-101B-9397-08002B2CF9AE}" pid="4" name="ICV">
    <vt:lpwstr>053FE0026F1A4522B81B0C860C619636_13</vt:lpwstr>
  </property>
</Properties>
</file>