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ascii="Times New Roman" w:hAnsi="Times New Roman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20" w:afterLines="10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江苏省社会团体评估指标</w:t>
      </w:r>
    </w:p>
    <w:tbl>
      <w:tblPr>
        <w:tblStyle w:val="3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98"/>
        <w:gridCol w:w="2001"/>
        <w:gridCol w:w="9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设立党组织（单建、联建；实体型、功能型）（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注：包括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、主题党日和谈心谈话等制度。实体型党支部还需要落实组织生活会、民主评议党员等制度。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</w:t>
            </w:r>
            <w:bookmarkStart w:id="0" w:name="_GoBack"/>
            <w:bookmarkEnd w:id="0"/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意识形态工作责任制并建立相关制度（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Style w:val="11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0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（含）以上等级；未开展党的工作和活动的，不予评为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按规定办理登记（成立登记、变更登记）和备案（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登记事项：名称、业务范围、住所、注册资金、法定代表人、业务主管单位。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备案事项：负责人、理事、监事，印章（单位、财务、法定代表人）、银行账户。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13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注：组织需提供理事、监事名单。以上各项，有1项未按规定办理扣1分，扣完为止。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按规定年检（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4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申报评估年度前两年年检合格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年末净资产不低于注册资金（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机构建设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理事会设立、制度建设及履职情况（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人员构成符合规定，无违规取酬情况；建立完善理事会议事决策等相关制度；理事会按时换届，按章程规定召开理事会；理事会履职情况，决定重大业务活动、制定内部管理制度、年度收支预算及决算审定等。有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按规定设立监事（会），设立监事会得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分，仅设立监事得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分；监事（会）制度健全并按规定履职，得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设立秘书处、办公室等内设机构，且职责明确、运转协调。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会员、会费管理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会员管理（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制定包括会员入会退会、会员档案、会员联络、会员服务、权利义务在内的会员管理制度；依规发展并管理会员。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会费管理（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制定会费管理制度并经会员（代表）大会通过；依规收取会费；依规使用会费。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注：未收取会费的不扣分。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制度建设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建立健全各项制度且能够规范执行，包括：内部矛盾化解、重大事项报告、财务、资产、人事、档案、印章、信息公开等制度。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注：以上各项，缺</w:t>
            </w:r>
            <w:r>
              <w:rPr>
                <w:rStyle w:val="9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项扣</w:t>
            </w:r>
            <w:r>
              <w:rPr>
                <w:rStyle w:val="9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负责人管理（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负责人届次、年龄符合规定；秘书长专职；领导干部兼职符合规定并履行报批手续，且未在社会团体领取报酬。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专职工作人员管理（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专职工作人员满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分），每少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人扣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专职工作人员人员结构合理，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6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周岁以下占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6"/>
                <w:rFonts w:hint="eastAsia"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Style w:val="6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以上、本科以上学历者占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Style w:val="7"/>
                <w:rFonts w:hint="eastAsia"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Style w:val="6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以上（均满足得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spacing w:val="-6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按相关规定参加法律法规、业务培训（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76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注：专职工作人员指建立劳动关系并购买社保的工作人员。返聘、劳动关系在其他单位的工作人员，按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财务保障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规范设置会计科目、账册、凭单、内外部报表、记账规范、会计核算规范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项不符合扣</w:t>
            </w:r>
            <w:r>
              <w:rPr>
                <w:rStyle w:val="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有专职的专业会计人员（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会计核算实行电算化（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会计档案管理规范（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编制年度预算且严格执行（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经费来源和资金使用符合章程规定（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注：经费来源和资金使用不符合法规和章程规定的，不予评为3A（含）以上等级。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规范使用各类票据（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资产管理合规（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按规定向会员大会、理事会报告社会组织财务状况（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换届、离任审计完整、合规（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注：未发生换届、法定代表人离任，不扣分。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对经审计发现的问题按规定及时整改（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服务国家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参加政府（部门）听证会、座谈会或参与政府主导相关课题研究（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参与制定国家、省级政策。参与制定国家政策得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分，省级政策得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参与制定国家、行业、地方标准或制定团体标准且在全国标准化信息公共服务平台发布（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结合本社会组织自身优势特长推动会员参与乡村振兴、对口支援协作、长江经济带发展、长三角一体化发展等国家战略及重大决策部署，并主导实施项目的（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通过各类方式组织专业人员服务人民群众（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通过宣传普及、展览展示等方式向社会展现发展成果，且未违规开展评比达标表彰（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服务会员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开展各类业务交流活动（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搭建交流平台，提供信息交换、共享服务（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提供技术、经济、管理、法律等方面咨询服务（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面向社会公开下列内容：法人登记证书；经核准的章程；组织机构设置；负责人、理事会及监事会成员名单；接受国家拨款或者社会捐赠、资助的资金使用情况；接受政府职能委托、授权、转移情况；收费标准（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面向会员公开下列内容：会员（会员代表）大会、理事会（常务理事会）、监事会的决议；半年、年度财务报告；会员名册；理事会、监事会年度工作报告；会费收取与使用管理情况；其他重大活动情况（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适用于学术性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制定学术规划，对学科未来发展有较强的指导作用（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组织召开学术会议，相关论文、资料汇编成册（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利用本社会组织网站或新媒体平台开展学术交流（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有定期出版物（有国内统一刊号或内部资料性印刷品准印证）（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提供学术成果（科技成果）评价服务（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有规范的学术自律制度并实施（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组织专业人员开展科学普及活动（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3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适用于行业性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组织开展或配合有关部门开展打击假冒伪劣，维护消费者权益活动（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5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制定行业公约或自律规约，依法保护各类经营主体平等准入权利（</w:t>
            </w:r>
            <w:r>
              <w:rPr>
                <w:rStyle w:val="12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5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组织开展资质认证、新产品鉴定、事故认定工作（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常态化、制度化开展相关业务活动（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制定行业争议处理规则，建立行业申诉应诉机制，参与社会纠纷和矛盾化解（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设立新闻发言人并举行新闻发布会</w:t>
            </w:r>
            <w:r>
              <w:rPr>
                <w:rStyle w:val="16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适用于专业性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组织研讨会、考察、赛事等活动（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在扶贫助困、文化保护、社会救助、环境治理、科学普及、全民健身等领域开展公益活动（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建立网站、刊物、公众号等宣传载体，并通过媒体开展有效宣传服务（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制定详细规范的职业道德准则，并推动实施（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制定详细完善的执业准则，并推动实施（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3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适用于联合性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建立重大突发公共事件参与机制并发挥作用（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开展的项目社会效益明显，得到媒体宣传报道（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制定自律公约或准则，开展自律性管理活动（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建立健全项目管理制度，规范制定项目运作方案并签订合同（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建设网站、公众号等媒介并进行运维、宣传（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组织与其他社会组织开展合作交流（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组织或参与扶贫助困、文化保护、社会救助、环境治理、科学普及等领域公益活动（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倡导会员履行社会责任，利用相关领域优势服务社会公众（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会员评价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对管理状况、综合影响力的评价，评价内容包括对召开会员（代表）大会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（常务）理事会情况、民主选举情况、民主办会情况、信息公开、接受会员监督、会费管理等内容的评价（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由业务主管单位对社会团体工作进行总体评价（</w:t>
            </w:r>
            <w:r>
              <w:rPr>
                <w:rStyle w:val="7"/>
                <w:rFonts w:hint="eastAsia"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注：已脱钩或直接登记的社会团体，由党建工作机构（或其授权的行业党委、属地党组织）进行评价。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品牌建设情况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3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社会团体主导的品牌（合作、科研）项目取得国家级、省级奖励（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注册商标或权威媒体对于社会团体服务品牌的正面报道（</w:t>
            </w:r>
            <w:r>
              <w:rPr>
                <w:rStyle w:val="7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Style w:val="6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17"/>
                <w:rFonts w:hint="eastAsia"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Style w:val="17"/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7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Style w:val="12"/>
                <w:rFonts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7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项指标无需社会组织提供材料</w:t>
            </w:r>
            <w:r>
              <w:rPr>
                <w:rStyle w:val="17"/>
                <w:rFonts w:hint="eastAsia"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Style w:val="17"/>
                <w:rFonts w:hint="default"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Times New Roman" w:hAnsi="Times New Roman" w:eastAsia="方正楷体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2.指标第16项分为四类，每一类指标适用于对应类型的社会团体。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20" w:afterLines="10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江苏省社会服务机构评估指标</w:t>
      </w:r>
    </w:p>
    <w:tbl>
      <w:tblPr>
        <w:tblStyle w:val="3"/>
        <w:tblW w:w="14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92"/>
        <w:gridCol w:w="2004"/>
        <w:gridCol w:w="10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设立党组织（单建、联建；实体型、功能型）（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注：基本组织生活制度包括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、主题党日和谈心谈话等，实体型党支部还需要落实组织生活会、民主评议党员等制度。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落实意识形态工作责任制并建立相关制度（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（含）以上等级。未开展党的工作和活动的，不予评为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按规定办理登记和备案（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登记事项：名称、业务范围、住所、开办资金、法定代表人、业务主管单位。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备案事项：印章（单位、财务、法定代表人）、银行账户、负责人、理事、监事。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注：组织需提供理事、监事名单。以上各项，有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项未按规定办理扣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年度检查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按规定参加年度检查（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2312" w:cs="方正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年检结论为合格（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年末净资产不低于开办资金（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遵纪守法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能够自觉遵守社会组织管理政策，无违规开展评比达标表彰、未设立分支机构等（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组织机构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理事会设立及履职情况（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建立健全理事会工作制度；理事产生（罢免）符合规定；领导干部兼职与取酬符合规定；理事会按期换届；理事会召开次数符合章程规定，会议纪要制作规范；理事会按照章程规定履行职责。有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监事（会）设立和任职条件明确，产生（罢免）符合规定；监事（会）列席理事会，行使监督权。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设立办公室等日常内设机构，名称规范、职责明确、运转协调。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建立并落实人员聘用制度，签订劳动合同（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建立薪酬、考核、奖惩等制度；履行社会保险、住房公积金等缴存义务（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行政负责人按章程规定的程序产生并履行职责；行政负责人为专职（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配备专职工作人员（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注：每配备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名专职工作人员得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分为止。专职工作人员指建立劳动关系并购买社会保险的工作人员，返聘、劳动关系在其他单位的工作人员，按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从业人员年龄结构合理，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周岁以下人员占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以上；学历结构合理，本科及以上学历者占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以上；专业能力合理，从事专业岗位人员有相应的专业职称或从业资格（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注：以上三项都符合得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分，两项符合得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分，一项符合得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分，三项都不符合不得分。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有专职工作人员的培训计划和培训记录；按规定参加政府等部门组织的业务培训（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合法运营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资金来源和资金使用符合国家政策法规和章程规定（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注：资金来源和资金使用不符合国家政策法规和章程规定的，不予评为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资金支出标准、审批权限明确，各项支出审批手续齐全，符合制度要求（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资金列入符合规定的单位账簿（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投资管理制度健全，执行情况良好（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规范设置会计科目、凭证、账簿；会计核算规范；会计报表真实、完整。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建立健全财务管理制度，并严格执行（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会计机构设置合理，岗位职责明确；会计人员具备从事会计工作所需要的专业能力（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注：委托代理记账机构进行代理记账的，不扣分。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会计核算实行电算化（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规范使用各种票据（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与关联方无违规交易且无有失公平交易行为，关联交易及时披露（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建立资产管理制度（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建立资产管理台账，且做到账实相符，不存在账外资产（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实物资产购进、领用、保管、处置履行内部审批程序，定期盘点并及时处理（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固定资产标准和折旧年限确定合理，折旧计提准确（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接受捐赠及捐出资产符合要求（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档案印章管理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档案管理情况（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档案管理制度详尽；档案资料齐全、整理有序、档案交接手续完备。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印章管理情况（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印章有专人妥善保管，且用印登记记录详细。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年度、换届、法定代表人离任审计完整、合规（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注：未发生换届、法定代表人离任，以及按照登记管理机关要求无需在年度检查时提供审计报告的，不扣分。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审计发现的问题整改到位（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业务活动开展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业务活动符合章程规定的宗旨和业务范围（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业务活动应建立包括活动策划、组织实施、事中监管、事后评估等内容的全过程管理体系，并有相应的监督与考核（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业务（项目）长期执行，具有可复制性、可推广性或形成品牌，并产生良好效果（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重大事项向业务主管单位/行业管理部门/党建工作机构报告（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重大事项包括开展评比达标表彰、举办节庆展会论坛、开展重大投资活动等。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参与乡村振兴、对口支援协作、长江经济带发展、长三角一体化发展等国家战略及重大决策部署（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申报评估年度前两年开展相关项目得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分；相关项目支出达到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万元（含）得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分，每增加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根据自身业务领域，有完善的服务内容（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服务程序、服务收费规范合理（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制定服务承诺制度（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包括服务承诺内容、方式、服务满意度及投诉反馈机制等。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加强与政府部门的系统配合，积极协同政府落实有关政策（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包括参与制定政策法规及建言献策，接受政府委托项目或购买服务等。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64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提供公益服务，在履行社会责任、承担公共服务、提供智力支持、服务基层治理、协助科学决策等方面主动作为（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发展建设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制定中长期发展规划，明确发展目标、发展路径和重点任务等，编制年度工作计划并组织实施（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建有网站、报刊或实名认证的其他自媒体等宣传服务平台，定期开展宣传服务（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开展交流合作（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定期梳理并总结业务活动中存在的风险点，制定风险防范措施（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坚持正确的政治方向、舆论导向和价值取向，建立舆情应对、突发事件处置等制度（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业务效益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年度收入保持稳定或持续增长（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连续两年年均收入额高于（或等于）费用总额（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净资产逐年增加（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依法履行信息公开义务（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公开内容包括：基本信息（登记事项、章程、组织机构、负责人等）；收费项目和标准；业务活动信息；年度工作报告和年检结果；捐赠信息。有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项未公开扣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内部评价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理事、监事对社会服务机构非营利性、领导班子履行职责、重大事项民主决策、能力建设和制度建设的评价（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注：所有理事、监事参与评价。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服务对象评价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主要服务对象对社会服务机构服务态度、服务质量、信息公开、社会影响力和诚信度的评价（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业务主管单位评价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由业务主管单位对社会服务机构进行总体评价（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注：直接登记的社会服务机构，由党建工作机构（或其授权的行业党委、属地党组织）进行评价。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社会影响力及公众形象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社会服务机构或负责人获得政府部门表彰奖励、行业评优评先；具有代表性、良好口碑和广泛影响力的社会服务案例等（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bottom"/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注：加</w:t>
            </w: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8"/>
                <w:rFonts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项指标无需社会组织提供材料。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20" w:afterLines="100"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江苏省基金会评估指标</w:t>
      </w:r>
    </w:p>
    <w:tbl>
      <w:tblPr>
        <w:tblStyle w:val="3"/>
        <w:tblW w:w="14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84"/>
        <w:gridCol w:w="2072"/>
        <w:gridCol w:w="10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设立党组织（单建、联建；实体型、功能型）（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注：包括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、主题党日和谈心谈话等制度。实体型党支部还需要落实组织生活会、民主评议党员等制度。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落实意识形态工作责任制并建立相关制度（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（含）以上等级；未开展党的工作和活动的，不予评为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按规定办理登记和备案（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登记事项：名称、业务范围、住所、原始基金、法定代表人、业务主管单位。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备案事项：负责人、理事、监事，印章（单位、财务、法定代表人）、银行账户、分支机构、代表机构、公开募捐活动、慈善信托。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注：以上各项，有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项未按规定办理扣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登记或认定为慈善组织（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注：组织需提供理事、监事名单以及公开募捐活动、慈善信托备案事项材料。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年检年报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按规定年检年报（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年检合格或年报符合要求（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注：申报评估年度前两年存在未按规定参加年检年报，或年检结论基本合格、不合格或年报不符合要求情况的，不予评为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ascii="Times New Roman" w:hAnsi="Times New Roman" w:eastAsia="方正仿宋_GB2312" w:cs="方正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年末净资产不低于注册资金，且逐年增加（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低于注册资金或未逐年增加得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机构建设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理事会设立、制度建设及履职情况（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会人员构成符合规定；理事无违规取酬情况；建立完善理事会议事决策等相关制度；理事会按时换届，按章程规定召开理事会；理事会履职情况，决定重大业务活动、制定内部管理制度、年度收支预算及决算审定等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监事设立符合规定（按规定需要设立监事会的应设立监事会）；监事不在基金会领取报酬；监事（会）制度健全并按规定履职，列席理事会、对基金会财务等进行监督。有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设立秘书处、办公室等内设机构，且职责明确、运转协调。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制度建设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建立健全各项制度且能够规范执行，包括：财务、项目、资产、投资、人事、志愿者、档案印章管理以及信息公开等制度。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注：以上各项，缺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项扣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负责人届次、年龄符合规定；秘书长专职；退（离）休领导干部兼职符合规定，并按规定履行报批手续。有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分，每少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分；人员结构合理，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﹪以上、本科以上学历者占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50%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分，扣完为止；积极参加法律法规、业务培训得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分，申报评估年度前两年有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年未参加扣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专业人才队伍建设（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专职工作人员中，有社工师、会计师等与本基金会业务相关的专业持证人才。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志愿者队伍建设（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建有志愿者队伍，人员稳定、管理规范、作用发挥明显。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注：专职工作人员指建立劳动关系并购买社保的工作人员。返聘、劳动关系在其他单位的工作人员，按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合法运营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经费来源和资金使用符合国家政策法规和章程规定（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注：经费来源和资金使用不符合国家政策法规和章程规定的，不予评为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资金列入符合规定的单位账簿（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规范使用票据（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规范设置会计科目、账册、凭单、内外部报表；记账、会计核算规范；会计报表真实、完整。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会计基础（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会计人员配备合理、专业化；会计核算实行电算化；会计档案管理规范。有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项不符合扣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编制年度预算且执行情况良好（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捐赠收入管理（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接受捐赠按规定签订捐赠协议；接受非货币捐赠，按规定确定公允价值。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投资符合《慈善组织保值增值投资活动管理暂行办法》规定且经必要决策程序，得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分；年投资回报率（综合年化收益率）达到一年期银行存款利率得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分，超过一个百分点加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注：亏损不得分；无投资行为不得分。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资产使用符合规定；固定资产标准和折旧年限确定合理，折旧计提准确。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关联方（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与关联方无违规交易且无有失公平交易行为；关联交易及时披露。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年度、换届、离任、重大项目专项审计完整、合规（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注：未发生换届、法定代表人离任，不扣分。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对审计发现的问题整改落实到位（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重大事项向业务主管单位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行业管理部门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党建工作机构报告（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重大事项包括开展评比达标表彰、举办节庆展会论坛、开展重大投资活动等。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捐赠收入规模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以全省相关领域基金会平均水平为参照数，对基金会申报评估年度前两年的捐赠收入情况进行测算得分（具有公开募捐资格、不具有公开募捐资格分别计算）。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标准分值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×1.2×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本基金会前两年平均捐赠收入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（本基金会前两年平均捐赠收入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全省平均水平），最高不超过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公益支出规模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以全省相关领域基金会平均水平为参照数，对基金会申报评估年度前两年的公益支出情况进行测算得分（具有公开募捐资格、不具有公开募捐资格分别计算）。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标准分值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×1.2×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本基金会前两年平均支出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（本基金会前两年平均支出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全省平均水平），最高不超过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项目符合宗旨和业务范围（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建立项目管理制度（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项目受益对象选择公开公正，有确认且信息齐全（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项目立项、实施、监督、反馈、评价、总结、归档等程序完备、材料齐全（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项目长期执行、形成品牌、社会知名度高，被媒体宣传报道（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参与乡村振兴、对口支援协作、长江经济带发展、长三角一体化发展等国家战略及重大决策部署（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申报评估年度前两年开展相关项目得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分；相关项目支出达到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万元（含）得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分，每增加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按照《基金会信息公布办法》《慈善组织信息公开办法》履行信息公开义务（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公开内容包括：基本信息、年度工作报告、接受捐赠信息、资金使用情况、公益项目信息等，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项未公开扣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建立信息公开平台，信息公开渠道多样（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设立新闻发言人（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注：慈善组织未按照《慈善组织信息公开办法》履行信息公开义务的，不予评为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理事监事评价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对管理状况、综合影响力的评价，评价内容包括对基金会民主决策、领导班子履行职责、财务管理、资金使用、信息公开、社会影响力等方面。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注：所有理事、监事参与评价。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捐赠人评价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对管理状况、综合影响力的评价，选择评估申报年度前两年主要捐赠人开展评价，评价内容包括对基金会公益性、项目效果满意度、社会影响力等方面。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注：主要捐赠人是指年度累计捐赠超过基金会当年捐赠收入</w:t>
            </w:r>
            <w:r>
              <w:rPr>
                <w:rStyle w:val="19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以上或者</w:t>
            </w:r>
            <w:r>
              <w:rPr>
                <w:rStyle w:val="19"/>
                <w:rFonts w:ascii="Times New Roman" w:hAnsi="Times New Roman" w:eastAsia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万元以上的捐赠单位或个人。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受助人评价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对项目管理、效果的评价，评价内容包括对基金会公正公开选定受助人、履行协议等方面。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注：抽取申报评估年度前两年开展的所有重大项目受助人参与评价，满足以下情形之一的属于重大项目：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该项目的捐赠收入占基金会当年捐赠总收入的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且金额超过人民币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万元的；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该项目的支出占基金会当年总支出的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且金额超过人民币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万元的；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项目持续时间在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年以上的（包括</w:t>
            </w:r>
            <w:r>
              <w:rPr>
                <w:rStyle w:val="19"/>
                <w:rFonts w:ascii="Times New Roman" w:hAnsi="Times New Roman" w:eastAsia="等线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业务主管单位评价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由业务主管单位对基金会工作进行总体评价。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注：直接登记的基金会，由党建工作机构（或其授权的行业党委、属地党组织）进行评价。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表彰奖励情况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政府部门对基金会和公益项目的表彰奖励情况。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注：加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eastAsia="方正楷体_GBK" w:cs="方正楷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项指标无需社会组织提供材料。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13299"/>
    <w:rsid w:val="5D5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2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3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9">
    <w:name w:val="font1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16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81"/>
    <w:basedOn w:val="4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3">
    <w:name w:val="font171"/>
    <w:basedOn w:val="4"/>
    <w:qFormat/>
    <w:uiPriority w:val="0"/>
    <w:rPr>
      <w:rFonts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character" w:customStyle="1" w:styleId="14">
    <w:name w:val="font18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5">
    <w:name w:val="font201"/>
    <w:basedOn w:val="4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16">
    <w:name w:val="font1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91"/>
    <w:basedOn w:val="4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18">
    <w:name w:val="font111"/>
    <w:basedOn w:val="4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19">
    <w:name w:val="font5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2025-06-25T17:30:00Z</dcterms:created>
  <dc:creator>donot</dc:creator>
  <cp:lastModifiedBy>mzj</cp:lastModifiedBy>
  <dcterms:modified xsi:type="dcterms:W3CDTF">2025-08-21T10:35:23Z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eyJoZGlkIjoiZTM5NGZjYzY2NDI1MDUzNmJiMjIzN2FhYjI2MjY1OTQiLCJ1c2VySWQiOiIxMTQyMDY4MzU5In0=</vt:lpwstr>
  </property>
  <property fmtid="{D5CDD505-2E9C-101B-9397-08002B2CF9AE}" pid="4" name="ICV">
    <vt:lpwstr>578615EEB0FB4C4CA883F5BFD87F11BD_12</vt:lpwstr>
  </property>
</Properties>
</file>