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71DC3">
      <w:pPr>
        <w:spacing w:line="56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0DEEFAD0">
      <w:pPr>
        <w:spacing w:after="156" w:afterLines="50" w:line="560" w:lineRule="exact"/>
        <w:ind w:firstLine="640" w:firstLineChars="20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江心洲及其夹江岸线生物多样性本底调查项目遴选评分表</w:t>
      </w:r>
      <w:bookmarkStart w:id="1" w:name="_GoBack"/>
      <w:bookmarkEnd w:id="1"/>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415"/>
        <w:gridCol w:w="9942"/>
        <w:gridCol w:w="1006"/>
        <w:gridCol w:w="927"/>
      </w:tblGrid>
      <w:tr w14:paraId="64A4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2" w:type="pct"/>
            <w:vAlign w:val="center"/>
          </w:tcPr>
          <w:p w14:paraId="05386B9A">
            <w:pPr>
              <w:jc w:val="center"/>
              <w:rPr>
                <w:rFonts w:ascii="Times New Roman" w:hAnsi="Times New Roman" w:cs="Times New Roman"/>
                <w:b/>
                <w:szCs w:val="21"/>
              </w:rPr>
            </w:pPr>
            <w:r>
              <w:rPr>
                <w:rFonts w:ascii="Times New Roman" w:hAnsi="Times New Roman" w:cs="Times New Roman"/>
                <w:b/>
                <w:szCs w:val="21"/>
              </w:rPr>
              <w:t>序号</w:t>
            </w:r>
          </w:p>
        </w:tc>
        <w:tc>
          <w:tcPr>
            <w:tcW w:w="499" w:type="pct"/>
            <w:vAlign w:val="center"/>
          </w:tcPr>
          <w:p w14:paraId="578BB09B">
            <w:pPr>
              <w:jc w:val="center"/>
              <w:rPr>
                <w:rFonts w:ascii="Times New Roman" w:hAnsi="Times New Roman" w:cs="Times New Roman"/>
                <w:b/>
                <w:szCs w:val="21"/>
              </w:rPr>
            </w:pPr>
            <w:r>
              <w:rPr>
                <w:rFonts w:ascii="Times New Roman" w:hAnsi="Times New Roman" w:cs="Times New Roman"/>
                <w:b/>
                <w:szCs w:val="21"/>
              </w:rPr>
              <w:t>评分因素</w:t>
            </w:r>
          </w:p>
        </w:tc>
        <w:tc>
          <w:tcPr>
            <w:tcW w:w="3507" w:type="pct"/>
            <w:vAlign w:val="center"/>
          </w:tcPr>
          <w:p w14:paraId="0466E20E">
            <w:pPr>
              <w:jc w:val="center"/>
              <w:rPr>
                <w:rFonts w:ascii="Times New Roman" w:hAnsi="Times New Roman" w:cs="Times New Roman"/>
                <w:b/>
                <w:szCs w:val="21"/>
              </w:rPr>
            </w:pPr>
            <w:r>
              <w:rPr>
                <w:rFonts w:ascii="Times New Roman" w:hAnsi="Times New Roman" w:cs="Times New Roman"/>
                <w:b/>
                <w:szCs w:val="21"/>
              </w:rPr>
              <w:t>评审标准</w:t>
            </w:r>
          </w:p>
        </w:tc>
        <w:tc>
          <w:tcPr>
            <w:tcW w:w="355" w:type="pct"/>
            <w:vAlign w:val="center"/>
          </w:tcPr>
          <w:p w14:paraId="17186072">
            <w:pPr>
              <w:jc w:val="center"/>
              <w:rPr>
                <w:rFonts w:ascii="Times New Roman" w:hAnsi="Times New Roman" w:cs="Times New Roman"/>
                <w:b/>
                <w:szCs w:val="21"/>
              </w:rPr>
            </w:pPr>
            <w:r>
              <w:rPr>
                <w:rFonts w:ascii="Times New Roman" w:hAnsi="Times New Roman" w:cs="Times New Roman"/>
                <w:b/>
                <w:szCs w:val="21"/>
              </w:rPr>
              <w:t>分值</w:t>
            </w:r>
          </w:p>
        </w:tc>
        <w:tc>
          <w:tcPr>
            <w:tcW w:w="327" w:type="pct"/>
            <w:vAlign w:val="center"/>
          </w:tcPr>
          <w:p w14:paraId="1A9FC8A4">
            <w:pPr>
              <w:jc w:val="center"/>
              <w:rPr>
                <w:rFonts w:ascii="Times New Roman" w:hAnsi="Times New Roman" w:cs="Times New Roman"/>
                <w:b/>
                <w:szCs w:val="21"/>
              </w:rPr>
            </w:pPr>
            <w:r>
              <w:rPr>
                <w:rFonts w:ascii="Times New Roman" w:hAnsi="Times New Roman" w:cs="Times New Roman"/>
                <w:b/>
                <w:szCs w:val="21"/>
              </w:rPr>
              <w:t>得分</w:t>
            </w:r>
          </w:p>
        </w:tc>
      </w:tr>
      <w:tr w14:paraId="5DC6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12" w:type="pct"/>
            <w:vAlign w:val="center"/>
          </w:tcPr>
          <w:p w14:paraId="7D2C1902">
            <w:pPr>
              <w:jc w:val="center"/>
              <w:rPr>
                <w:rFonts w:ascii="Times New Roman" w:hAnsi="Times New Roman" w:cs="Times New Roman"/>
                <w:szCs w:val="21"/>
              </w:rPr>
            </w:pPr>
            <w:r>
              <w:rPr>
                <w:rFonts w:ascii="Times New Roman" w:hAnsi="Times New Roman" w:cs="Times New Roman"/>
                <w:szCs w:val="21"/>
              </w:rPr>
              <w:t>1</w:t>
            </w:r>
          </w:p>
        </w:tc>
        <w:tc>
          <w:tcPr>
            <w:tcW w:w="499" w:type="pct"/>
            <w:vAlign w:val="center"/>
          </w:tcPr>
          <w:p w14:paraId="7675EB91">
            <w:pPr>
              <w:jc w:val="center"/>
              <w:rPr>
                <w:rFonts w:ascii="Times New Roman" w:hAnsi="Times New Roman" w:cs="Times New Roman"/>
                <w:szCs w:val="21"/>
              </w:rPr>
            </w:pPr>
            <w:r>
              <w:rPr>
                <w:rFonts w:ascii="Times New Roman" w:hAnsi="Times New Roman" w:cs="Times New Roman"/>
                <w:szCs w:val="21"/>
              </w:rPr>
              <w:t>价格评分</w:t>
            </w:r>
          </w:p>
          <w:p w14:paraId="4D3C9039">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0分）</w:t>
            </w:r>
          </w:p>
        </w:tc>
        <w:tc>
          <w:tcPr>
            <w:tcW w:w="3507" w:type="pct"/>
            <w:vAlign w:val="center"/>
          </w:tcPr>
          <w:p w14:paraId="1B3F50B1">
            <w:pPr>
              <w:jc w:val="left"/>
              <w:rPr>
                <w:rFonts w:ascii="Times New Roman" w:hAnsi="Times New Roman" w:cs="Times New Roman"/>
                <w:szCs w:val="21"/>
              </w:rPr>
            </w:pPr>
            <w:r>
              <w:rPr>
                <w:rFonts w:ascii="Times New Roman" w:hAnsi="Times New Roman" w:cs="Times New Roman"/>
                <w:szCs w:val="21"/>
              </w:rPr>
              <w:t>（1）投标报价：</w:t>
            </w:r>
          </w:p>
          <w:p w14:paraId="75304914">
            <w:pPr>
              <w:jc w:val="left"/>
              <w:rPr>
                <w:rFonts w:ascii="Times New Roman" w:hAnsi="Times New Roman" w:cs="Times New Roman"/>
                <w:szCs w:val="21"/>
              </w:rPr>
            </w:pPr>
            <w:r>
              <w:rPr>
                <w:rFonts w:ascii="Times New Roman" w:hAnsi="Times New Roman" w:cs="Times New Roman"/>
                <w:szCs w:val="21"/>
              </w:rPr>
              <w:t>满足</w:t>
            </w:r>
            <w:r>
              <w:rPr>
                <w:rFonts w:hint="eastAsia" w:ascii="Times New Roman" w:hAnsi="Times New Roman" w:cs="Times New Roman"/>
                <w:szCs w:val="21"/>
              </w:rPr>
              <w:t>遴选</w:t>
            </w:r>
            <w:r>
              <w:rPr>
                <w:rFonts w:ascii="Times New Roman" w:hAnsi="Times New Roman" w:cs="Times New Roman"/>
                <w:szCs w:val="21"/>
              </w:rPr>
              <w:t>文件要求且投标价格最低的投标报价为评标基准价，其价格分为满分。其他投标人的价格分统一按照下列公式计算：</w:t>
            </w:r>
          </w:p>
          <w:p w14:paraId="07A021E2">
            <w:pPr>
              <w:jc w:val="left"/>
              <w:rPr>
                <w:rFonts w:ascii="Times New Roman" w:hAnsi="Times New Roman" w:cs="Times New Roman"/>
                <w:szCs w:val="21"/>
              </w:rPr>
            </w:pPr>
            <w:r>
              <w:rPr>
                <w:rFonts w:ascii="Times New Roman" w:hAnsi="Times New Roman" w:cs="Times New Roman"/>
                <w:szCs w:val="21"/>
              </w:rPr>
              <w:t>投标报价得分=（评标基准价/投标报价）*价格权值，小数点保留2位。</w:t>
            </w:r>
          </w:p>
        </w:tc>
        <w:tc>
          <w:tcPr>
            <w:tcW w:w="355" w:type="pct"/>
            <w:vAlign w:val="center"/>
          </w:tcPr>
          <w:p w14:paraId="4A3BD96C">
            <w:pPr>
              <w:jc w:val="center"/>
              <w:rPr>
                <w:rFonts w:ascii="Times New Roman" w:hAnsi="Times New Roman" w:cs="Times New Roman"/>
                <w:szCs w:val="21"/>
              </w:rPr>
            </w:pPr>
            <w:r>
              <w:rPr>
                <w:rFonts w:ascii="Times New Roman" w:hAnsi="Times New Roman" w:cs="Times New Roman"/>
                <w:szCs w:val="21"/>
              </w:rPr>
              <w:t>10分</w:t>
            </w:r>
          </w:p>
        </w:tc>
        <w:tc>
          <w:tcPr>
            <w:tcW w:w="327" w:type="pct"/>
            <w:vAlign w:val="center"/>
          </w:tcPr>
          <w:p w14:paraId="3DA438DA">
            <w:pPr>
              <w:jc w:val="center"/>
              <w:rPr>
                <w:rFonts w:ascii="Times New Roman" w:hAnsi="Times New Roman" w:cs="Times New Roman"/>
                <w:szCs w:val="21"/>
              </w:rPr>
            </w:pPr>
          </w:p>
        </w:tc>
      </w:tr>
      <w:tr w14:paraId="4E6E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4BFC47F8">
            <w:pPr>
              <w:jc w:val="center"/>
              <w:rPr>
                <w:rFonts w:ascii="Times New Roman" w:hAnsi="Times New Roman" w:cs="Times New Roman"/>
                <w:szCs w:val="21"/>
              </w:rPr>
            </w:pPr>
            <w:r>
              <w:rPr>
                <w:rFonts w:ascii="Times New Roman" w:hAnsi="Times New Roman" w:cs="Times New Roman"/>
                <w:szCs w:val="21"/>
              </w:rPr>
              <w:t>2.1</w:t>
            </w:r>
          </w:p>
        </w:tc>
        <w:tc>
          <w:tcPr>
            <w:tcW w:w="499" w:type="pct"/>
            <w:vMerge w:val="restart"/>
            <w:vAlign w:val="center"/>
          </w:tcPr>
          <w:p w14:paraId="69446FFB">
            <w:pPr>
              <w:jc w:val="center"/>
              <w:rPr>
                <w:rFonts w:ascii="Times New Roman" w:hAnsi="Times New Roman" w:cs="Times New Roman"/>
                <w:szCs w:val="21"/>
              </w:rPr>
            </w:pPr>
            <w:r>
              <w:rPr>
                <w:rFonts w:ascii="Times New Roman" w:hAnsi="Times New Roman" w:cs="Times New Roman"/>
                <w:szCs w:val="21"/>
              </w:rPr>
              <w:t>技术方案</w:t>
            </w:r>
          </w:p>
          <w:p w14:paraId="5C0E5258">
            <w:pPr>
              <w:jc w:val="center"/>
              <w:rPr>
                <w:rFonts w:ascii="Times New Roman" w:hAnsi="Times New Roman" w:cs="Times New Roman"/>
                <w:szCs w:val="21"/>
              </w:rPr>
            </w:pPr>
            <w:r>
              <w:rPr>
                <w:rFonts w:ascii="Times New Roman" w:hAnsi="Times New Roman" w:cs="Times New Roman"/>
                <w:szCs w:val="21"/>
              </w:rPr>
              <w:t>（50分）</w:t>
            </w:r>
          </w:p>
        </w:tc>
        <w:tc>
          <w:tcPr>
            <w:tcW w:w="3507" w:type="pct"/>
            <w:vAlign w:val="center"/>
          </w:tcPr>
          <w:p w14:paraId="1DF8BFDB">
            <w:pPr>
              <w:jc w:val="lef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项目需求理解（项目概述、目标、内容等）</w:t>
            </w:r>
            <w:r>
              <w:rPr>
                <w:rFonts w:ascii="Times New Roman" w:hAnsi="Times New Roman" w:cs="Times New Roman"/>
                <w:szCs w:val="21"/>
              </w:rPr>
              <w:t>：</w:t>
            </w:r>
          </w:p>
          <w:p w14:paraId="13BE3A0B">
            <w:pPr>
              <w:jc w:val="left"/>
              <w:rPr>
                <w:rFonts w:ascii="Times New Roman" w:hAnsi="Times New Roman" w:cs="Times New Roman"/>
                <w:szCs w:val="21"/>
              </w:rPr>
            </w:pPr>
            <w:r>
              <w:rPr>
                <w:rFonts w:hint="eastAsia" w:ascii="Times New Roman" w:hAnsi="Times New Roman" w:cs="Times New Roman"/>
                <w:szCs w:val="21"/>
              </w:rPr>
              <w:t>理解透彻、内容表述清晰，针对性强、可操作性强得10分；基本理解、内容表述基本清晰，有针对性、基本可行得6分；理解模糊、内容表述不清晰，不具有针对性、可操作性不强得3分；上述内容如有缺失、不符或不提供者，则本项不得分。</w:t>
            </w:r>
          </w:p>
        </w:tc>
        <w:tc>
          <w:tcPr>
            <w:tcW w:w="355" w:type="pct"/>
            <w:vAlign w:val="center"/>
          </w:tcPr>
          <w:p w14:paraId="2A5C97EA">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0分</w:t>
            </w:r>
          </w:p>
        </w:tc>
        <w:tc>
          <w:tcPr>
            <w:tcW w:w="327" w:type="pct"/>
            <w:vAlign w:val="center"/>
          </w:tcPr>
          <w:p w14:paraId="5AD7899E">
            <w:pPr>
              <w:jc w:val="center"/>
              <w:rPr>
                <w:rFonts w:ascii="Times New Roman" w:hAnsi="Times New Roman" w:cs="Times New Roman"/>
                <w:szCs w:val="21"/>
              </w:rPr>
            </w:pPr>
          </w:p>
        </w:tc>
      </w:tr>
      <w:tr w14:paraId="0398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5114FD86">
            <w:pPr>
              <w:jc w:val="center"/>
              <w:rPr>
                <w:rFonts w:ascii="Times New Roman" w:hAnsi="Times New Roman" w:cs="Times New Roman"/>
                <w:szCs w:val="21"/>
              </w:rPr>
            </w:pPr>
            <w:r>
              <w:rPr>
                <w:rFonts w:hint="eastAsia" w:ascii="Times New Roman" w:hAnsi="Times New Roman" w:cs="Times New Roman"/>
                <w:szCs w:val="21"/>
              </w:rPr>
              <w:t>2.2</w:t>
            </w:r>
          </w:p>
        </w:tc>
        <w:tc>
          <w:tcPr>
            <w:tcW w:w="499" w:type="pct"/>
            <w:vMerge w:val="continue"/>
            <w:vAlign w:val="center"/>
          </w:tcPr>
          <w:p w14:paraId="2D4ED619">
            <w:pPr>
              <w:jc w:val="center"/>
              <w:rPr>
                <w:rFonts w:ascii="Times New Roman" w:hAnsi="Times New Roman" w:cs="Times New Roman"/>
                <w:szCs w:val="21"/>
              </w:rPr>
            </w:pPr>
          </w:p>
        </w:tc>
        <w:tc>
          <w:tcPr>
            <w:tcW w:w="3507" w:type="pct"/>
            <w:vAlign w:val="center"/>
          </w:tcPr>
          <w:p w14:paraId="313AEAA1">
            <w:pPr>
              <w:jc w:val="left"/>
              <w:rPr>
                <w:rFonts w:ascii="Times New Roman" w:hAnsi="Times New Roman" w:cs="Times New Roman"/>
                <w:szCs w:val="21"/>
              </w:rPr>
            </w:pPr>
            <w:r>
              <w:rPr>
                <w:rFonts w:hint="eastAsia" w:ascii="Times New Roman" w:hAnsi="Times New Roman" w:cs="Times New Roman"/>
                <w:szCs w:val="21"/>
              </w:rPr>
              <w:t>（2）项目重难点分析（重难点、解决措施等）</w:t>
            </w:r>
            <w:r>
              <w:rPr>
                <w:rFonts w:ascii="Times New Roman" w:hAnsi="Times New Roman" w:cs="Times New Roman"/>
                <w:szCs w:val="21"/>
              </w:rPr>
              <w:t>：</w:t>
            </w:r>
          </w:p>
          <w:p w14:paraId="44783D72">
            <w:pPr>
              <w:jc w:val="left"/>
              <w:rPr>
                <w:rFonts w:ascii="Times New Roman" w:hAnsi="Times New Roman" w:cs="Times New Roman"/>
                <w:szCs w:val="21"/>
              </w:rPr>
            </w:pPr>
            <w:r>
              <w:rPr>
                <w:rFonts w:hint="eastAsia" w:ascii="Times New Roman" w:hAnsi="Times New Roman" w:cs="Times New Roman"/>
                <w:szCs w:val="21"/>
              </w:rPr>
              <w:t>重难点分析针对性强、表述清晰，解决措施可行性强得10分；重难点分析有针对性、表述基本清晰，解决措施基本可行得6分；重难点分析不具有针对性、表述不清晰，解决措施可操作性不强得3分；上述内容如有缺失、不符或不提供者，则本项不得分。</w:t>
            </w:r>
          </w:p>
        </w:tc>
        <w:tc>
          <w:tcPr>
            <w:tcW w:w="355" w:type="pct"/>
            <w:vAlign w:val="center"/>
          </w:tcPr>
          <w:p w14:paraId="53DA1960">
            <w:pPr>
              <w:jc w:val="center"/>
              <w:rPr>
                <w:rFonts w:ascii="Times New Roman" w:hAnsi="Times New Roman" w:cs="Times New Roman"/>
                <w:szCs w:val="21"/>
              </w:rPr>
            </w:pPr>
            <w:r>
              <w:rPr>
                <w:rFonts w:hint="eastAsia" w:ascii="Times New Roman" w:hAnsi="Times New Roman" w:cs="Times New Roman"/>
                <w:szCs w:val="21"/>
              </w:rPr>
              <w:t>10分</w:t>
            </w:r>
          </w:p>
        </w:tc>
        <w:tc>
          <w:tcPr>
            <w:tcW w:w="327" w:type="pct"/>
            <w:vAlign w:val="center"/>
          </w:tcPr>
          <w:p w14:paraId="710C6558">
            <w:pPr>
              <w:jc w:val="center"/>
              <w:rPr>
                <w:rFonts w:ascii="Times New Roman" w:hAnsi="Times New Roman" w:cs="Times New Roman"/>
                <w:szCs w:val="21"/>
              </w:rPr>
            </w:pPr>
          </w:p>
        </w:tc>
      </w:tr>
      <w:tr w14:paraId="4C46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31F208F1">
            <w:pPr>
              <w:jc w:val="center"/>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3</w:t>
            </w:r>
          </w:p>
        </w:tc>
        <w:tc>
          <w:tcPr>
            <w:tcW w:w="499" w:type="pct"/>
            <w:vMerge w:val="continue"/>
            <w:vAlign w:val="center"/>
          </w:tcPr>
          <w:p w14:paraId="628A7975">
            <w:pPr>
              <w:jc w:val="center"/>
              <w:rPr>
                <w:rFonts w:ascii="Times New Roman" w:hAnsi="Times New Roman" w:cs="Times New Roman"/>
                <w:szCs w:val="21"/>
              </w:rPr>
            </w:pPr>
          </w:p>
        </w:tc>
        <w:tc>
          <w:tcPr>
            <w:tcW w:w="3507" w:type="pct"/>
            <w:vAlign w:val="center"/>
          </w:tcPr>
          <w:p w14:paraId="13E05ECF">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w:t>
            </w:r>
            <w:r>
              <w:rPr>
                <w:rFonts w:ascii="Times New Roman" w:hAnsi="Times New Roman" w:cs="Times New Roman"/>
                <w:szCs w:val="21"/>
              </w:rPr>
              <w:t>）</w:t>
            </w:r>
            <w:r>
              <w:rPr>
                <w:rFonts w:hint="eastAsia" w:ascii="Times New Roman" w:hAnsi="Times New Roman" w:cs="Times New Roman"/>
                <w:szCs w:val="21"/>
              </w:rPr>
              <w:t>工作方案（技术框架、工作方法、成果要求等）</w:t>
            </w:r>
            <w:r>
              <w:rPr>
                <w:rFonts w:ascii="Times New Roman" w:hAnsi="Times New Roman" w:cs="Times New Roman"/>
                <w:szCs w:val="21"/>
              </w:rPr>
              <w:t>：</w:t>
            </w:r>
          </w:p>
          <w:p w14:paraId="30F19879">
            <w:pPr>
              <w:jc w:val="left"/>
              <w:rPr>
                <w:rFonts w:ascii="Times New Roman" w:hAnsi="Times New Roman" w:cs="Times New Roman"/>
                <w:szCs w:val="21"/>
              </w:rPr>
            </w:pPr>
            <w:r>
              <w:rPr>
                <w:rFonts w:hint="eastAsia" w:ascii="Times New Roman" w:hAnsi="Times New Roman" w:cs="Times New Roman"/>
                <w:szCs w:val="21"/>
              </w:rPr>
              <w:t>工作方案完整，表达清晰得10分；工作方案较完整，表达有偏差、但不影响实质性意思表达得6分；工作方案不完整，仅能部分实现采购需求得3分；上述内容如有缺失、不符或不提供者，则本项不得分。</w:t>
            </w:r>
          </w:p>
        </w:tc>
        <w:tc>
          <w:tcPr>
            <w:tcW w:w="355" w:type="pct"/>
            <w:vAlign w:val="center"/>
          </w:tcPr>
          <w:p w14:paraId="4F61640F">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0分</w:t>
            </w:r>
          </w:p>
        </w:tc>
        <w:tc>
          <w:tcPr>
            <w:tcW w:w="327" w:type="pct"/>
            <w:vAlign w:val="center"/>
          </w:tcPr>
          <w:p w14:paraId="58EBF26D">
            <w:pPr>
              <w:jc w:val="center"/>
              <w:rPr>
                <w:rFonts w:ascii="Times New Roman" w:hAnsi="Times New Roman" w:cs="Times New Roman"/>
                <w:szCs w:val="21"/>
              </w:rPr>
            </w:pPr>
          </w:p>
        </w:tc>
      </w:tr>
      <w:tr w14:paraId="1708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14F03D04">
            <w:pPr>
              <w:jc w:val="center"/>
              <w:rPr>
                <w:rFonts w:ascii="Times New Roman" w:hAnsi="Times New Roman" w:cs="Times New Roman"/>
                <w:szCs w:val="21"/>
              </w:rPr>
            </w:pPr>
            <w:r>
              <w:rPr>
                <w:rFonts w:hint="eastAsia" w:ascii="Times New Roman" w:hAnsi="Times New Roman" w:cs="Times New Roman"/>
                <w:szCs w:val="21"/>
              </w:rPr>
              <w:t>2.4</w:t>
            </w:r>
          </w:p>
        </w:tc>
        <w:tc>
          <w:tcPr>
            <w:tcW w:w="499" w:type="pct"/>
            <w:vMerge w:val="continue"/>
            <w:vAlign w:val="center"/>
          </w:tcPr>
          <w:p w14:paraId="5F618E21">
            <w:pPr>
              <w:jc w:val="center"/>
              <w:rPr>
                <w:rFonts w:ascii="Times New Roman" w:hAnsi="Times New Roman" w:cs="Times New Roman"/>
                <w:szCs w:val="21"/>
              </w:rPr>
            </w:pPr>
          </w:p>
        </w:tc>
        <w:tc>
          <w:tcPr>
            <w:tcW w:w="3507" w:type="pct"/>
            <w:vAlign w:val="center"/>
          </w:tcPr>
          <w:p w14:paraId="271E4F3D">
            <w:pPr>
              <w:jc w:val="left"/>
              <w:rPr>
                <w:rFonts w:ascii="Times New Roman" w:hAnsi="Times New Roman" w:cs="Times New Roman"/>
                <w:szCs w:val="21"/>
              </w:rPr>
            </w:pPr>
            <w:r>
              <w:rPr>
                <w:rFonts w:hint="eastAsia" w:ascii="Times New Roman" w:hAnsi="Times New Roman" w:cs="Times New Roman"/>
                <w:szCs w:val="21"/>
              </w:rPr>
              <w:t>（4）进度控制（进度控制措施、调查进度、工作计划等）</w:t>
            </w:r>
            <w:r>
              <w:rPr>
                <w:rFonts w:ascii="Times New Roman" w:hAnsi="Times New Roman" w:cs="Times New Roman"/>
                <w:szCs w:val="21"/>
              </w:rPr>
              <w:t>：</w:t>
            </w:r>
          </w:p>
          <w:p w14:paraId="3C96735C">
            <w:pPr>
              <w:jc w:val="left"/>
              <w:rPr>
                <w:rFonts w:ascii="Times New Roman" w:hAnsi="Times New Roman" w:cs="Times New Roman"/>
                <w:szCs w:val="21"/>
              </w:rPr>
            </w:pPr>
            <w:r>
              <w:rPr>
                <w:rFonts w:hint="eastAsia" w:ascii="Times New Roman" w:hAnsi="Times New Roman" w:cs="Times New Roman"/>
                <w:szCs w:val="21"/>
              </w:rPr>
              <w:t>进度控制措施完善且优于采购需求得10分；进度控制措施较全、能够满足采购需求得6分；有进度安排内容、但方案内容笼统、未细致针对本项目制定、仅能部分实现进度要求得3分；上述内容如有缺失、不符或不提供者，则本项不得分。</w:t>
            </w:r>
          </w:p>
        </w:tc>
        <w:tc>
          <w:tcPr>
            <w:tcW w:w="355" w:type="pct"/>
            <w:vAlign w:val="center"/>
          </w:tcPr>
          <w:p w14:paraId="72D4756C">
            <w:pPr>
              <w:jc w:val="center"/>
              <w:rPr>
                <w:rFonts w:ascii="Times New Roman" w:hAnsi="Times New Roman" w:cs="Times New Roman"/>
                <w:szCs w:val="21"/>
              </w:rPr>
            </w:pPr>
            <w:r>
              <w:rPr>
                <w:rFonts w:hint="eastAsia" w:ascii="Times New Roman" w:hAnsi="Times New Roman" w:cs="Times New Roman"/>
                <w:szCs w:val="21"/>
              </w:rPr>
              <w:t>10分</w:t>
            </w:r>
          </w:p>
        </w:tc>
        <w:tc>
          <w:tcPr>
            <w:tcW w:w="327" w:type="pct"/>
            <w:vAlign w:val="center"/>
          </w:tcPr>
          <w:p w14:paraId="5BA9AABE">
            <w:pPr>
              <w:jc w:val="center"/>
              <w:rPr>
                <w:rFonts w:ascii="Times New Roman" w:hAnsi="Times New Roman" w:cs="Times New Roman"/>
                <w:szCs w:val="21"/>
              </w:rPr>
            </w:pPr>
          </w:p>
        </w:tc>
      </w:tr>
      <w:tr w14:paraId="39FE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3193B6CB">
            <w:pPr>
              <w:jc w:val="center"/>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5</w:t>
            </w:r>
          </w:p>
        </w:tc>
        <w:tc>
          <w:tcPr>
            <w:tcW w:w="499" w:type="pct"/>
            <w:vMerge w:val="continue"/>
            <w:vAlign w:val="center"/>
          </w:tcPr>
          <w:p w14:paraId="3CA24143">
            <w:pPr>
              <w:jc w:val="center"/>
              <w:rPr>
                <w:rFonts w:ascii="Times New Roman" w:hAnsi="Times New Roman" w:cs="Times New Roman"/>
                <w:szCs w:val="21"/>
              </w:rPr>
            </w:pPr>
          </w:p>
        </w:tc>
        <w:tc>
          <w:tcPr>
            <w:tcW w:w="3507" w:type="pct"/>
            <w:vAlign w:val="center"/>
          </w:tcPr>
          <w:p w14:paraId="1A4E2FE7">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5</w:t>
            </w:r>
            <w:r>
              <w:rPr>
                <w:rFonts w:ascii="Times New Roman" w:hAnsi="Times New Roman" w:cs="Times New Roman"/>
                <w:szCs w:val="21"/>
              </w:rPr>
              <w:t>）</w:t>
            </w:r>
            <w:r>
              <w:rPr>
                <w:rFonts w:hint="eastAsia" w:ascii="Times New Roman" w:hAnsi="Times New Roman" w:cs="Times New Roman"/>
                <w:szCs w:val="21"/>
              </w:rPr>
              <w:t>服务质量保证措施（实施保障方案、服务保障承诺、质量保障措施等）</w:t>
            </w:r>
            <w:r>
              <w:rPr>
                <w:rFonts w:ascii="Times New Roman" w:hAnsi="Times New Roman" w:cs="Times New Roman"/>
                <w:szCs w:val="21"/>
              </w:rPr>
              <w:t>：</w:t>
            </w:r>
          </w:p>
          <w:p w14:paraId="40DC1BA1">
            <w:pPr>
              <w:tabs>
                <w:tab w:val="left" w:pos="312"/>
              </w:tabs>
              <w:jc w:val="left"/>
              <w:rPr>
                <w:rFonts w:ascii="Times New Roman" w:hAnsi="Times New Roman" w:cs="Times New Roman"/>
                <w:spacing w:val="3"/>
                <w:szCs w:val="21"/>
              </w:rPr>
            </w:pPr>
            <w:r>
              <w:rPr>
                <w:rFonts w:ascii="Times New Roman" w:hAnsi="Times New Roman" w:eastAsia="宋体" w:cs="Times New Roman"/>
                <w:spacing w:val="-1"/>
                <w:szCs w:val="21"/>
              </w:rPr>
              <w:t>针对本项目制定细化的质量保证措施和进度保障措施，措施具体明确，条理性强，</w:t>
            </w:r>
            <w:r>
              <w:rPr>
                <w:rFonts w:ascii="Times New Roman" w:hAnsi="Times New Roman" w:eastAsia="宋体" w:cs="Times New Roman"/>
                <w:spacing w:val="20"/>
                <w:szCs w:val="21"/>
              </w:rPr>
              <w:t>得10分；</w:t>
            </w:r>
            <w:r>
              <w:rPr>
                <w:rFonts w:ascii="Times New Roman" w:hAnsi="Times New Roman" w:cs="Times New Roman"/>
                <w:spacing w:val="1"/>
                <w:szCs w:val="21"/>
              </w:rPr>
              <w:t>内部质量控制管理措施、</w:t>
            </w:r>
            <w:r>
              <w:rPr>
                <w:rFonts w:ascii="Times New Roman" w:hAnsi="Times New Roman" w:cs="Times New Roman"/>
                <w:szCs w:val="21"/>
              </w:rPr>
              <w:t>进度安排措施方案较完善、较合理，</w:t>
            </w:r>
            <w:r>
              <w:rPr>
                <w:rFonts w:ascii="Times New Roman" w:hAnsi="Times New Roman" w:cs="Times New Roman"/>
                <w:spacing w:val="12"/>
                <w:szCs w:val="21"/>
              </w:rPr>
              <w:t>得6分；有质量控制措施，</w:t>
            </w:r>
            <w:r>
              <w:rPr>
                <w:rFonts w:ascii="Times New Roman" w:hAnsi="Times New Roman" w:cs="Times New Roman"/>
                <w:spacing w:val="3"/>
                <w:szCs w:val="21"/>
              </w:rPr>
              <w:t>实施起来困难的得2分；</w:t>
            </w:r>
            <w:r>
              <w:rPr>
                <w:rFonts w:ascii="Times New Roman" w:hAnsi="Times New Roman" w:eastAsia="宋体" w:cs="Times New Roman"/>
                <w:spacing w:val="-1"/>
                <w:szCs w:val="21"/>
              </w:rPr>
              <w:t>没有不得分。</w:t>
            </w:r>
          </w:p>
        </w:tc>
        <w:tc>
          <w:tcPr>
            <w:tcW w:w="355" w:type="pct"/>
            <w:vAlign w:val="center"/>
          </w:tcPr>
          <w:p w14:paraId="38752771">
            <w:pPr>
              <w:jc w:val="center"/>
              <w:rPr>
                <w:rFonts w:ascii="Times New Roman" w:hAnsi="Times New Roman" w:cs="Times New Roman"/>
                <w:szCs w:val="21"/>
              </w:rPr>
            </w:pPr>
            <w:r>
              <w:rPr>
                <w:rFonts w:ascii="Times New Roman" w:hAnsi="Times New Roman" w:cs="Times New Roman"/>
                <w:szCs w:val="21"/>
              </w:rPr>
              <w:t>10分</w:t>
            </w:r>
          </w:p>
        </w:tc>
        <w:tc>
          <w:tcPr>
            <w:tcW w:w="327" w:type="pct"/>
            <w:vAlign w:val="center"/>
          </w:tcPr>
          <w:p w14:paraId="1DCD3304">
            <w:pPr>
              <w:jc w:val="center"/>
              <w:rPr>
                <w:rFonts w:ascii="Times New Roman" w:hAnsi="Times New Roman" w:cs="Times New Roman"/>
                <w:szCs w:val="21"/>
              </w:rPr>
            </w:pPr>
          </w:p>
        </w:tc>
      </w:tr>
      <w:tr w14:paraId="260B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7B34AEFD">
            <w:pPr>
              <w:jc w:val="center"/>
              <w:rPr>
                <w:rFonts w:ascii="Times New Roman" w:hAnsi="Times New Roman" w:cs="Times New Roman"/>
                <w:szCs w:val="21"/>
              </w:rPr>
            </w:pPr>
            <w:r>
              <w:rPr>
                <w:rFonts w:ascii="Times New Roman" w:hAnsi="Times New Roman" w:cs="Times New Roman"/>
                <w:szCs w:val="21"/>
              </w:rPr>
              <w:t>3.1</w:t>
            </w:r>
          </w:p>
        </w:tc>
        <w:tc>
          <w:tcPr>
            <w:tcW w:w="499" w:type="pct"/>
            <w:vMerge w:val="restart"/>
            <w:vAlign w:val="center"/>
          </w:tcPr>
          <w:p w14:paraId="7B04BB7C">
            <w:pPr>
              <w:jc w:val="center"/>
              <w:rPr>
                <w:rFonts w:ascii="Times New Roman" w:hAnsi="Times New Roman" w:cs="Times New Roman"/>
                <w:szCs w:val="21"/>
              </w:rPr>
            </w:pPr>
            <w:r>
              <w:rPr>
                <w:rFonts w:hint="eastAsia" w:ascii="Times New Roman" w:hAnsi="Times New Roman" w:cs="Times New Roman"/>
                <w:szCs w:val="21"/>
              </w:rPr>
              <w:t>综合</w:t>
            </w:r>
            <w:r>
              <w:rPr>
                <w:rFonts w:ascii="Times New Roman" w:hAnsi="Times New Roman" w:cs="Times New Roman"/>
                <w:szCs w:val="21"/>
              </w:rPr>
              <w:t>实力</w:t>
            </w:r>
          </w:p>
          <w:p w14:paraId="2F2A26A2">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0分）</w:t>
            </w:r>
          </w:p>
        </w:tc>
        <w:tc>
          <w:tcPr>
            <w:tcW w:w="3507" w:type="pct"/>
            <w:vAlign w:val="center"/>
          </w:tcPr>
          <w:p w14:paraId="3F569E4A">
            <w:pPr>
              <w:jc w:val="left"/>
              <w:rPr>
                <w:rFonts w:ascii="Times New Roman" w:hAnsi="Times New Roman" w:cs="Times New Roman"/>
                <w:szCs w:val="21"/>
              </w:rPr>
            </w:pPr>
            <w:r>
              <w:rPr>
                <w:rFonts w:ascii="Times New Roman" w:hAnsi="Times New Roman" w:cs="Times New Roman"/>
                <w:szCs w:val="21"/>
              </w:rPr>
              <w:t>（1）投标人工作业绩：</w:t>
            </w:r>
          </w:p>
          <w:p w14:paraId="7F18DF1A">
            <w:pPr>
              <w:jc w:val="left"/>
              <w:rPr>
                <w:rFonts w:hint="eastAsia" w:ascii="Times New Roman" w:hAnsi="Times New Roman" w:cs="Times New Roman"/>
                <w:szCs w:val="21"/>
              </w:rPr>
            </w:pPr>
            <w:r>
              <w:rPr>
                <w:rFonts w:hint="eastAsia" w:ascii="Times New Roman" w:hAnsi="Times New Roman" w:cs="Times New Roman"/>
                <w:szCs w:val="21"/>
              </w:rPr>
              <w:t>近5年以来</w:t>
            </w:r>
            <w:r>
              <w:rPr>
                <w:rFonts w:ascii="Times New Roman" w:hAnsi="Times New Roman" w:cs="Times New Roman"/>
                <w:szCs w:val="21"/>
              </w:rPr>
              <w:t>投标人承担过类似</w:t>
            </w:r>
            <w:r>
              <w:rPr>
                <w:rFonts w:hint="eastAsia" w:ascii="Times New Roman" w:hAnsi="Times New Roman" w:cs="Times New Roman"/>
                <w:szCs w:val="21"/>
              </w:rPr>
              <w:t>生物多样性调查项目</w:t>
            </w:r>
            <w:r>
              <w:rPr>
                <w:rFonts w:ascii="Times New Roman" w:hAnsi="Times New Roman" w:cs="Times New Roman"/>
                <w:szCs w:val="21"/>
              </w:rPr>
              <w:t>相关工作</w:t>
            </w:r>
            <w:r>
              <w:rPr>
                <w:rFonts w:hint="eastAsia" w:ascii="Times New Roman" w:hAnsi="Times New Roman" w:cs="Times New Roman"/>
                <w:szCs w:val="21"/>
              </w:rPr>
              <w:t>的</w:t>
            </w:r>
            <w:r>
              <w:rPr>
                <w:rFonts w:ascii="Times New Roman" w:hAnsi="Times New Roman" w:cs="Times New Roman"/>
                <w:szCs w:val="21"/>
              </w:rPr>
              <w:t>，每有</w:t>
            </w:r>
            <w:r>
              <w:rPr>
                <w:rFonts w:hint="eastAsia" w:ascii="Times New Roman" w:hAnsi="Times New Roman" w:cs="Times New Roman"/>
                <w:szCs w:val="21"/>
              </w:rPr>
              <w:t>1个得3</w:t>
            </w:r>
            <w:r>
              <w:rPr>
                <w:rFonts w:ascii="Times New Roman" w:hAnsi="Times New Roman" w:cs="Times New Roman"/>
                <w:szCs w:val="21"/>
              </w:rPr>
              <w:t>分，</w:t>
            </w:r>
            <w:r>
              <w:rPr>
                <w:rFonts w:hint="eastAsia" w:ascii="Times New Roman" w:hAnsi="Times New Roman" w:cs="Times New Roman"/>
                <w:szCs w:val="21"/>
              </w:rPr>
              <w:t>本项最高得15</w:t>
            </w:r>
            <w:r>
              <w:rPr>
                <w:rFonts w:ascii="Times New Roman" w:hAnsi="Times New Roman" w:cs="Times New Roman"/>
                <w:szCs w:val="21"/>
              </w:rPr>
              <w:t>分</w:t>
            </w:r>
            <w:r>
              <w:rPr>
                <w:rFonts w:hint="eastAsia" w:ascii="Times New Roman" w:hAnsi="Times New Roman" w:cs="Times New Roman"/>
                <w:szCs w:val="21"/>
              </w:rPr>
              <w:t>。</w:t>
            </w:r>
          </w:p>
        </w:tc>
        <w:tc>
          <w:tcPr>
            <w:tcW w:w="355" w:type="pct"/>
            <w:vAlign w:val="center"/>
          </w:tcPr>
          <w:p w14:paraId="7833E8DF">
            <w:pPr>
              <w:jc w:val="center"/>
              <w:rPr>
                <w:rFonts w:ascii="Times New Roman" w:hAnsi="Times New Roman" w:cs="Times New Roman"/>
                <w:szCs w:val="21"/>
              </w:rPr>
            </w:pPr>
            <w:r>
              <w:rPr>
                <w:rFonts w:hint="eastAsia" w:ascii="Times New Roman" w:hAnsi="Times New Roman" w:cs="Times New Roman"/>
                <w:szCs w:val="21"/>
              </w:rPr>
              <w:t>15</w:t>
            </w:r>
            <w:r>
              <w:rPr>
                <w:rFonts w:ascii="Times New Roman" w:hAnsi="Times New Roman" w:cs="Times New Roman"/>
                <w:szCs w:val="21"/>
              </w:rPr>
              <w:t>分</w:t>
            </w:r>
          </w:p>
        </w:tc>
        <w:tc>
          <w:tcPr>
            <w:tcW w:w="327" w:type="pct"/>
            <w:vAlign w:val="center"/>
          </w:tcPr>
          <w:p w14:paraId="7A7999BC">
            <w:pPr>
              <w:jc w:val="center"/>
              <w:rPr>
                <w:rFonts w:ascii="Times New Roman" w:hAnsi="Times New Roman" w:cs="Times New Roman"/>
                <w:szCs w:val="21"/>
              </w:rPr>
            </w:pPr>
          </w:p>
        </w:tc>
      </w:tr>
      <w:tr w14:paraId="364E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4AC06DCF">
            <w:pPr>
              <w:jc w:val="center"/>
              <w:rPr>
                <w:rFonts w:hint="eastAsia" w:ascii="Times New Roman" w:hAnsi="Times New Roman" w:cs="Times New Roman"/>
                <w:szCs w:val="21"/>
              </w:rPr>
            </w:pPr>
            <w:r>
              <w:rPr>
                <w:rFonts w:hint="eastAsia" w:ascii="Times New Roman" w:hAnsi="Times New Roman" w:cs="Times New Roman"/>
                <w:szCs w:val="21"/>
              </w:rPr>
              <w:t>3.2</w:t>
            </w:r>
          </w:p>
        </w:tc>
        <w:tc>
          <w:tcPr>
            <w:tcW w:w="499" w:type="pct"/>
            <w:vMerge w:val="continue"/>
            <w:vAlign w:val="center"/>
          </w:tcPr>
          <w:p w14:paraId="53417D48">
            <w:pPr>
              <w:jc w:val="center"/>
              <w:rPr>
                <w:rFonts w:hint="eastAsia" w:ascii="Times New Roman" w:hAnsi="Times New Roman" w:cs="Times New Roman"/>
                <w:szCs w:val="21"/>
              </w:rPr>
            </w:pPr>
          </w:p>
        </w:tc>
        <w:tc>
          <w:tcPr>
            <w:tcW w:w="3507" w:type="pct"/>
            <w:vAlign w:val="center"/>
          </w:tcPr>
          <w:p w14:paraId="74EDE017">
            <w:pPr>
              <w:jc w:val="left"/>
              <w:rPr>
                <w:rFonts w:ascii="Times New Roman" w:hAnsi="Times New Roman" w:cs="Times New Roman"/>
                <w:szCs w:val="21"/>
              </w:rPr>
            </w:pPr>
            <w:r>
              <w:rPr>
                <w:rFonts w:hint="eastAsia" w:ascii="Times New Roman" w:hAnsi="Times New Roman" w:cs="Times New Roman"/>
                <w:szCs w:val="21"/>
              </w:rPr>
              <w:t>（2）企业荣誉：</w:t>
            </w:r>
          </w:p>
          <w:p w14:paraId="00C3E256">
            <w:pPr>
              <w:jc w:val="left"/>
              <w:rPr>
                <w:rFonts w:ascii="Times New Roman" w:hAnsi="Times New Roman" w:cs="Times New Roman"/>
                <w:szCs w:val="21"/>
              </w:rPr>
            </w:pPr>
            <w:r>
              <w:rPr>
                <w:rFonts w:hint="eastAsia" w:ascii="Times New Roman" w:hAnsi="Times New Roman" w:cs="Times New Roman"/>
                <w:szCs w:val="21"/>
              </w:rPr>
              <w:t>具有环保类项目入选国家级或省级智慧类“重点工程名单”或“标志性工程名单”的，每有1次得3分，本项最高得6分</w:t>
            </w:r>
          </w:p>
          <w:p w14:paraId="12702041">
            <w:pPr>
              <w:jc w:val="left"/>
              <w:rPr>
                <w:rFonts w:hint="eastAsia" w:ascii="Times New Roman" w:hAnsi="Times New Roman" w:cs="Times New Roman"/>
                <w:szCs w:val="21"/>
              </w:rPr>
            </w:pPr>
            <w:r>
              <w:rPr>
                <w:rFonts w:hint="eastAsia" w:ascii="Times New Roman" w:hAnsi="Times New Roman" w:cs="Times New Roman"/>
                <w:szCs w:val="21"/>
              </w:rPr>
              <w:t>获得市级及以上行政主管部门颁发生态监测相关奖励或奖项的每有1项得1分，本项最高得2分。</w:t>
            </w:r>
          </w:p>
        </w:tc>
        <w:tc>
          <w:tcPr>
            <w:tcW w:w="355" w:type="pct"/>
            <w:vAlign w:val="center"/>
          </w:tcPr>
          <w:p w14:paraId="72922312">
            <w:pPr>
              <w:jc w:val="center"/>
              <w:rPr>
                <w:rFonts w:hint="eastAsia" w:ascii="Times New Roman" w:hAnsi="Times New Roman" w:cs="Times New Roman"/>
                <w:szCs w:val="21"/>
              </w:rPr>
            </w:pPr>
            <w:r>
              <w:rPr>
                <w:rFonts w:hint="eastAsia" w:ascii="Times New Roman" w:hAnsi="Times New Roman" w:cs="Times New Roman"/>
                <w:szCs w:val="21"/>
              </w:rPr>
              <w:t>8分</w:t>
            </w:r>
          </w:p>
        </w:tc>
        <w:tc>
          <w:tcPr>
            <w:tcW w:w="327" w:type="pct"/>
            <w:vAlign w:val="center"/>
          </w:tcPr>
          <w:p w14:paraId="6B5851FD">
            <w:pPr>
              <w:jc w:val="center"/>
              <w:rPr>
                <w:rFonts w:ascii="Times New Roman" w:hAnsi="Times New Roman" w:cs="Times New Roman"/>
                <w:szCs w:val="21"/>
              </w:rPr>
            </w:pPr>
          </w:p>
        </w:tc>
      </w:tr>
      <w:tr w14:paraId="723A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2EE1D980">
            <w:pPr>
              <w:jc w:val="center"/>
              <w:rPr>
                <w:rFonts w:hint="eastAsia"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3</w:t>
            </w:r>
          </w:p>
        </w:tc>
        <w:tc>
          <w:tcPr>
            <w:tcW w:w="499" w:type="pct"/>
            <w:vMerge w:val="continue"/>
            <w:vAlign w:val="center"/>
          </w:tcPr>
          <w:p w14:paraId="2961CDE8">
            <w:pPr>
              <w:jc w:val="center"/>
              <w:rPr>
                <w:rFonts w:ascii="Times New Roman" w:hAnsi="Times New Roman" w:cs="Times New Roman"/>
                <w:szCs w:val="21"/>
              </w:rPr>
            </w:pPr>
          </w:p>
        </w:tc>
        <w:tc>
          <w:tcPr>
            <w:tcW w:w="3507" w:type="pct"/>
            <w:vAlign w:val="center"/>
          </w:tcPr>
          <w:p w14:paraId="1508EEC4">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w:t>
            </w:r>
            <w:r>
              <w:rPr>
                <w:rFonts w:ascii="Times New Roman" w:hAnsi="Times New Roman" w:cs="Times New Roman"/>
                <w:szCs w:val="21"/>
              </w:rPr>
              <w:t>）</w:t>
            </w:r>
            <w:r>
              <w:rPr>
                <w:rFonts w:hint="eastAsia" w:ascii="Times New Roman" w:hAnsi="Times New Roman" w:cs="Times New Roman"/>
                <w:szCs w:val="21"/>
              </w:rPr>
              <w:t>项目负责人</w:t>
            </w:r>
            <w:r>
              <w:rPr>
                <w:rFonts w:ascii="Times New Roman" w:hAnsi="Times New Roman" w:cs="Times New Roman"/>
                <w:szCs w:val="21"/>
              </w:rPr>
              <w:t>：</w:t>
            </w:r>
          </w:p>
          <w:p w14:paraId="6636087C">
            <w:pPr>
              <w:topLinePunct/>
              <w:adjustRightInd w:val="0"/>
              <w:snapToGrid w:val="0"/>
              <w:jc w:val="left"/>
              <w:rPr>
                <w:rFonts w:ascii="Times New Roman" w:hAnsi="Times New Roman" w:eastAsia="宋体" w:cs="Times New Roman"/>
              </w:rPr>
            </w:pPr>
            <w:bookmarkStart w:id="0" w:name="OLE_LINK1"/>
            <w:r>
              <w:rPr>
                <w:rFonts w:ascii="Times New Roman" w:hAnsi="Times New Roman" w:eastAsia="宋体" w:cs="Times New Roman"/>
              </w:rPr>
              <w:t>环境类高级工程师职称，得</w:t>
            </w:r>
            <w:r>
              <w:rPr>
                <w:rFonts w:hint="eastAsia" w:ascii="Times New Roman" w:hAnsi="Times New Roman" w:eastAsia="宋体" w:cs="Times New Roman"/>
              </w:rPr>
              <w:t>3</w:t>
            </w:r>
            <w:r>
              <w:rPr>
                <w:rFonts w:ascii="Times New Roman" w:hAnsi="Times New Roman" w:eastAsia="宋体" w:cs="Times New Roman"/>
              </w:rPr>
              <w:t>分；</w:t>
            </w:r>
            <w:bookmarkEnd w:id="0"/>
            <w:r>
              <w:rPr>
                <w:rFonts w:ascii="Times New Roman" w:hAnsi="Times New Roman" w:eastAsia="宋体" w:cs="Times New Roman"/>
              </w:rPr>
              <w:t>环境类工程师职称的得</w:t>
            </w:r>
            <w:r>
              <w:rPr>
                <w:rFonts w:hint="eastAsia" w:ascii="Times New Roman" w:hAnsi="Times New Roman" w:eastAsia="宋体" w:cs="Times New Roman"/>
              </w:rPr>
              <w:t>1</w:t>
            </w:r>
            <w:r>
              <w:rPr>
                <w:rFonts w:ascii="Times New Roman" w:hAnsi="Times New Roman" w:eastAsia="宋体" w:cs="Times New Roman"/>
              </w:rPr>
              <w:t>分；</w:t>
            </w:r>
            <w:r>
              <w:rPr>
                <w:rFonts w:hint="eastAsia" w:ascii="Times New Roman" w:hAnsi="Times New Roman" w:eastAsia="宋体" w:cs="Times New Roman"/>
              </w:rPr>
              <w:t>本项最高得3分。</w:t>
            </w:r>
          </w:p>
          <w:p w14:paraId="2824FEEC">
            <w:pPr>
              <w:jc w:val="left"/>
              <w:rPr>
                <w:rFonts w:ascii="Times New Roman" w:hAnsi="Times New Roman" w:cs="Times New Roman"/>
                <w:szCs w:val="21"/>
              </w:rPr>
            </w:pPr>
            <w:r>
              <w:rPr>
                <w:rFonts w:ascii="Times New Roman" w:hAnsi="Times New Roman" w:eastAsia="宋体" w:cs="Times New Roman"/>
              </w:rPr>
              <w:t>（提供人员证书及近6个月任意一个人</w:t>
            </w:r>
            <w:r>
              <w:rPr>
                <w:rFonts w:hint="eastAsia" w:ascii="Times New Roman" w:hAnsi="Times New Roman" w:eastAsia="宋体" w:cs="Times New Roman"/>
              </w:rPr>
              <w:t>投标人</w:t>
            </w:r>
            <w:r>
              <w:rPr>
                <w:rFonts w:ascii="Times New Roman" w:hAnsi="Times New Roman" w:eastAsia="宋体" w:cs="Times New Roman"/>
              </w:rPr>
              <w:t>为其缴纳的社保证明。）</w:t>
            </w:r>
          </w:p>
        </w:tc>
        <w:tc>
          <w:tcPr>
            <w:tcW w:w="355" w:type="pct"/>
            <w:vAlign w:val="center"/>
          </w:tcPr>
          <w:p w14:paraId="2E545BB5">
            <w:pPr>
              <w:jc w:val="center"/>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分</w:t>
            </w:r>
          </w:p>
        </w:tc>
        <w:tc>
          <w:tcPr>
            <w:tcW w:w="327" w:type="pct"/>
            <w:vAlign w:val="center"/>
          </w:tcPr>
          <w:p w14:paraId="754EFC87">
            <w:pPr>
              <w:jc w:val="center"/>
              <w:rPr>
                <w:rFonts w:ascii="Times New Roman" w:hAnsi="Times New Roman" w:cs="Times New Roman"/>
                <w:szCs w:val="21"/>
              </w:rPr>
            </w:pPr>
          </w:p>
        </w:tc>
      </w:tr>
      <w:tr w14:paraId="25CB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7163331F">
            <w:pPr>
              <w:jc w:val="center"/>
              <w:rPr>
                <w:rFonts w:hint="eastAsia"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4</w:t>
            </w:r>
          </w:p>
        </w:tc>
        <w:tc>
          <w:tcPr>
            <w:tcW w:w="499" w:type="pct"/>
            <w:vMerge w:val="continue"/>
            <w:vAlign w:val="center"/>
          </w:tcPr>
          <w:p w14:paraId="05AD1BD5">
            <w:pPr>
              <w:jc w:val="center"/>
              <w:rPr>
                <w:rFonts w:ascii="Times New Roman" w:hAnsi="Times New Roman" w:cs="Times New Roman"/>
                <w:szCs w:val="21"/>
              </w:rPr>
            </w:pPr>
          </w:p>
        </w:tc>
        <w:tc>
          <w:tcPr>
            <w:tcW w:w="3507" w:type="pct"/>
            <w:vAlign w:val="center"/>
          </w:tcPr>
          <w:p w14:paraId="5C1F28E8">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w:t>
            </w:r>
            <w:r>
              <w:rPr>
                <w:rFonts w:ascii="Times New Roman" w:hAnsi="Times New Roman" w:eastAsia="宋体" w:cs="Times New Roman"/>
              </w:rPr>
              <w:t>项目组成员（除项目负责人外）</w:t>
            </w:r>
            <w:r>
              <w:rPr>
                <w:rFonts w:ascii="Times New Roman" w:hAnsi="Times New Roman" w:cs="Times New Roman"/>
                <w:szCs w:val="21"/>
              </w:rPr>
              <w:t>：</w:t>
            </w:r>
          </w:p>
          <w:p w14:paraId="7A3CFBBD">
            <w:pPr>
              <w:jc w:val="left"/>
              <w:rPr>
                <w:rFonts w:ascii="Times New Roman" w:hAnsi="Times New Roman" w:eastAsia="宋体" w:cs="Times New Roman"/>
              </w:rPr>
            </w:pPr>
            <w:r>
              <w:rPr>
                <w:rFonts w:hint="eastAsia" w:ascii="Times New Roman" w:hAnsi="Times New Roman" w:eastAsia="宋体" w:cs="Times New Roman"/>
              </w:rPr>
              <w:t>具备中国环境主管部门颁发的生物多样性监测、调查评估与修复技术培训证书的得1分，本项</w:t>
            </w:r>
            <w:r>
              <w:rPr>
                <w:rFonts w:ascii="Times New Roman" w:hAnsi="Times New Roman" w:eastAsia="宋体" w:cs="Times New Roman"/>
              </w:rPr>
              <w:t>最高得</w:t>
            </w:r>
            <w:r>
              <w:rPr>
                <w:rFonts w:hint="eastAsia" w:ascii="Times New Roman" w:hAnsi="Times New Roman" w:eastAsia="宋体" w:cs="Times New Roman"/>
              </w:rPr>
              <w:t>1</w:t>
            </w:r>
            <w:r>
              <w:rPr>
                <w:rFonts w:ascii="Times New Roman" w:hAnsi="Times New Roman" w:eastAsia="宋体" w:cs="Times New Roman"/>
              </w:rPr>
              <w:t>分。</w:t>
            </w:r>
          </w:p>
          <w:p w14:paraId="5BE3B731">
            <w:pPr>
              <w:jc w:val="left"/>
              <w:rPr>
                <w:rFonts w:ascii="Times New Roman" w:hAnsi="Times New Roman" w:eastAsia="宋体" w:cs="Times New Roman"/>
              </w:rPr>
            </w:pPr>
            <w:r>
              <w:rPr>
                <w:rFonts w:hint="eastAsia" w:ascii="Times New Roman" w:hAnsi="Times New Roman" w:eastAsia="宋体" w:cs="Times New Roman"/>
              </w:rPr>
              <w:t>具备国家级机构颁发的生态环境遥感监测与评价类上岗证的，提供证书复印件加盖单位公章的得2分，本项</w:t>
            </w:r>
            <w:r>
              <w:rPr>
                <w:rFonts w:ascii="Times New Roman" w:hAnsi="Times New Roman" w:eastAsia="宋体" w:cs="Times New Roman"/>
              </w:rPr>
              <w:t>最高得</w:t>
            </w:r>
            <w:r>
              <w:rPr>
                <w:rFonts w:hint="eastAsia" w:ascii="Times New Roman" w:hAnsi="Times New Roman" w:eastAsia="宋体" w:cs="Times New Roman"/>
              </w:rPr>
              <w:t>2</w:t>
            </w:r>
            <w:r>
              <w:rPr>
                <w:rFonts w:ascii="Times New Roman" w:hAnsi="Times New Roman" w:eastAsia="宋体" w:cs="Times New Roman"/>
              </w:rPr>
              <w:t>分</w:t>
            </w:r>
            <w:r>
              <w:rPr>
                <w:rFonts w:hint="eastAsia" w:ascii="Times New Roman" w:hAnsi="Times New Roman" w:eastAsia="宋体" w:cs="Times New Roman"/>
              </w:rPr>
              <w:t>。</w:t>
            </w:r>
          </w:p>
          <w:p w14:paraId="7E58FC84">
            <w:pPr>
              <w:jc w:val="left"/>
              <w:rPr>
                <w:rFonts w:ascii="Times New Roman" w:hAnsi="Times New Roman" w:eastAsia="宋体" w:cs="Times New Roman"/>
              </w:rPr>
            </w:pPr>
            <w:r>
              <w:rPr>
                <w:rFonts w:hint="eastAsia" w:ascii="Times New Roman" w:hAnsi="Times New Roman" w:eastAsia="宋体" w:cs="Times New Roman"/>
              </w:rPr>
              <w:t>获得过省级及以上环保部门颁发的生物多样性监测相关荣誉证书的得1分，本项</w:t>
            </w:r>
            <w:r>
              <w:rPr>
                <w:rFonts w:ascii="Times New Roman" w:hAnsi="Times New Roman" w:eastAsia="宋体" w:cs="Times New Roman"/>
              </w:rPr>
              <w:t>最高得</w:t>
            </w:r>
            <w:r>
              <w:rPr>
                <w:rFonts w:hint="eastAsia" w:ascii="Times New Roman" w:hAnsi="Times New Roman" w:eastAsia="宋体" w:cs="Times New Roman"/>
              </w:rPr>
              <w:t>1</w:t>
            </w:r>
            <w:r>
              <w:rPr>
                <w:rFonts w:ascii="Times New Roman" w:hAnsi="Times New Roman" w:eastAsia="宋体" w:cs="Times New Roman"/>
              </w:rPr>
              <w:t>分。</w:t>
            </w:r>
          </w:p>
          <w:p w14:paraId="496FE901">
            <w:pPr>
              <w:topLinePunct/>
              <w:adjustRightInd w:val="0"/>
              <w:snapToGrid w:val="0"/>
              <w:rPr>
                <w:rFonts w:ascii="Times New Roman" w:hAnsi="Times New Roman" w:eastAsia="宋体" w:cs="Times New Roman"/>
              </w:rPr>
            </w:pPr>
            <w:r>
              <w:rPr>
                <w:rFonts w:hint="eastAsia" w:ascii="Times New Roman" w:hAnsi="Times New Roman" w:eastAsia="宋体" w:cs="Times New Roman"/>
              </w:rPr>
              <w:t>具备6个环境类高级工程师职称人员的得2分，每多增加1个得1分，本项最高得4分。</w:t>
            </w:r>
          </w:p>
          <w:p w14:paraId="5D117FB0">
            <w:pPr>
              <w:jc w:val="left"/>
              <w:rPr>
                <w:rFonts w:ascii="Times New Roman" w:hAnsi="Times New Roman" w:cs="Times New Roman"/>
                <w:szCs w:val="21"/>
              </w:rPr>
            </w:pPr>
            <w:r>
              <w:rPr>
                <w:rFonts w:ascii="Times New Roman" w:hAnsi="Times New Roman" w:eastAsia="宋体" w:cs="Times New Roman"/>
              </w:rPr>
              <w:t>（提供人员证书及近6个月任意一个人</w:t>
            </w:r>
            <w:r>
              <w:rPr>
                <w:rFonts w:hint="eastAsia" w:ascii="Times New Roman" w:hAnsi="Times New Roman" w:eastAsia="宋体" w:cs="Times New Roman"/>
              </w:rPr>
              <w:t>投标人</w:t>
            </w:r>
            <w:r>
              <w:rPr>
                <w:rFonts w:ascii="Times New Roman" w:hAnsi="Times New Roman" w:eastAsia="宋体" w:cs="Times New Roman"/>
              </w:rPr>
              <w:t>为其缴纳的社保证明。）</w:t>
            </w:r>
          </w:p>
        </w:tc>
        <w:tc>
          <w:tcPr>
            <w:tcW w:w="355" w:type="pct"/>
            <w:vAlign w:val="center"/>
          </w:tcPr>
          <w:p w14:paraId="035C5D74">
            <w:pPr>
              <w:jc w:val="center"/>
              <w:rPr>
                <w:rFonts w:ascii="Times New Roman" w:hAnsi="Times New Roman" w:cs="Times New Roman"/>
                <w:szCs w:val="21"/>
              </w:rPr>
            </w:pPr>
            <w:r>
              <w:rPr>
                <w:rFonts w:ascii="Times New Roman" w:hAnsi="Times New Roman" w:cs="Times New Roman"/>
                <w:szCs w:val="21"/>
              </w:rPr>
              <w:t>8分</w:t>
            </w:r>
          </w:p>
        </w:tc>
        <w:tc>
          <w:tcPr>
            <w:tcW w:w="327" w:type="pct"/>
            <w:vAlign w:val="center"/>
          </w:tcPr>
          <w:p w14:paraId="0979EECE">
            <w:pPr>
              <w:jc w:val="center"/>
              <w:rPr>
                <w:rFonts w:ascii="Times New Roman" w:hAnsi="Times New Roman" w:cs="Times New Roman"/>
                <w:szCs w:val="21"/>
              </w:rPr>
            </w:pPr>
          </w:p>
        </w:tc>
      </w:tr>
      <w:tr w14:paraId="3514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1EB09BD4">
            <w:pPr>
              <w:jc w:val="center"/>
              <w:rPr>
                <w:rFonts w:hint="eastAsia"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5</w:t>
            </w:r>
          </w:p>
        </w:tc>
        <w:tc>
          <w:tcPr>
            <w:tcW w:w="499" w:type="pct"/>
            <w:vMerge w:val="continue"/>
            <w:vAlign w:val="center"/>
          </w:tcPr>
          <w:p w14:paraId="7856E60F">
            <w:pPr>
              <w:jc w:val="center"/>
              <w:rPr>
                <w:rFonts w:ascii="Times New Roman" w:hAnsi="Times New Roman" w:cs="Times New Roman"/>
                <w:szCs w:val="21"/>
              </w:rPr>
            </w:pPr>
          </w:p>
        </w:tc>
        <w:tc>
          <w:tcPr>
            <w:tcW w:w="3507" w:type="pct"/>
            <w:vAlign w:val="center"/>
          </w:tcPr>
          <w:p w14:paraId="64DB1B78">
            <w:pPr>
              <w:jc w:val="left"/>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5</w:t>
            </w:r>
            <w:r>
              <w:rPr>
                <w:rFonts w:ascii="Times New Roman" w:hAnsi="Times New Roman" w:cs="Times New Roman"/>
                <w:szCs w:val="21"/>
              </w:rPr>
              <w:t>）</w:t>
            </w:r>
            <w:r>
              <w:rPr>
                <w:rFonts w:hint="eastAsia" w:ascii="Times New Roman" w:hAnsi="Times New Roman" w:cs="Times New Roman"/>
                <w:szCs w:val="21"/>
              </w:rPr>
              <w:t>体系</w:t>
            </w:r>
            <w:r>
              <w:rPr>
                <w:rFonts w:ascii="Times New Roman" w:hAnsi="Times New Roman" w:cs="Times New Roman"/>
                <w:szCs w:val="21"/>
              </w:rPr>
              <w:t>认证：</w:t>
            </w:r>
          </w:p>
          <w:p w14:paraId="38C4C9AE">
            <w:pPr>
              <w:jc w:val="left"/>
              <w:rPr>
                <w:rFonts w:ascii="Times New Roman" w:hAnsi="Times New Roman" w:cs="Times New Roman"/>
                <w:szCs w:val="21"/>
              </w:rPr>
            </w:pPr>
            <w:r>
              <w:rPr>
                <w:rFonts w:ascii="Times New Roman" w:hAnsi="Times New Roman" w:cs="Times New Roman"/>
                <w:spacing w:val="-3"/>
                <w:szCs w:val="21"/>
              </w:rPr>
              <w:t>投标人具备环境管理体系认证、质量管理体系认证、职业健康安全管理体系认证，每提供一个得2</w:t>
            </w:r>
            <w:r>
              <w:rPr>
                <w:rFonts w:ascii="Times New Roman" w:hAnsi="Times New Roman" w:cs="Times New Roman"/>
                <w:spacing w:val="-4"/>
                <w:szCs w:val="21"/>
              </w:rPr>
              <w:t>分，没有不得分，</w:t>
            </w:r>
            <w:r>
              <w:rPr>
                <w:rFonts w:ascii="Times New Roman" w:hAnsi="Times New Roman" w:cs="Times New Roman"/>
                <w:spacing w:val="-1"/>
                <w:szCs w:val="21"/>
              </w:rPr>
              <w:t>本项最高得6分。</w:t>
            </w:r>
          </w:p>
        </w:tc>
        <w:tc>
          <w:tcPr>
            <w:tcW w:w="355" w:type="pct"/>
            <w:vAlign w:val="center"/>
          </w:tcPr>
          <w:p w14:paraId="7079F857">
            <w:pPr>
              <w:jc w:val="center"/>
              <w:rPr>
                <w:rFonts w:ascii="Times New Roman" w:hAnsi="Times New Roman" w:cs="Times New Roman"/>
                <w:szCs w:val="21"/>
              </w:rPr>
            </w:pPr>
            <w:r>
              <w:rPr>
                <w:rFonts w:ascii="Times New Roman" w:hAnsi="Times New Roman" w:cs="Times New Roman"/>
                <w:szCs w:val="21"/>
              </w:rPr>
              <w:t>6分</w:t>
            </w:r>
          </w:p>
        </w:tc>
        <w:tc>
          <w:tcPr>
            <w:tcW w:w="327" w:type="pct"/>
            <w:vAlign w:val="center"/>
          </w:tcPr>
          <w:p w14:paraId="12392389">
            <w:pPr>
              <w:jc w:val="center"/>
              <w:rPr>
                <w:rFonts w:ascii="Times New Roman" w:hAnsi="Times New Roman" w:cs="Times New Roman"/>
                <w:szCs w:val="21"/>
              </w:rPr>
            </w:pPr>
          </w:p>
        </w:tc>
      </w:tr>
      <w:tr w14:paraId="3185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8" w:type="pct"/>
            <w:gridSpan w:val="3"/>
            <w:vAlign w:val="center"/>
          </w:tcPr>
          <w:p w14:paraId="2EBAEBE4">
            <w:pPr>
              <w:jc w:val="center"/>
              <w:rPr>
                <w:rFonts w:ascii="Times New Roman" w:hAnsi="Times New Roman" w:cs="Times New Roman"/>
                <w:szCs w:val="21"/>
              </w:rPr>
            </w:pPr>
            <w:r>
              <w:rPr>
                <w:rFonts w:ascii="Times New Roman" w:hAnsi="Times New Roman" w:cs="Times New Roman"/>
                <w:szCs w:val="21"/>
              </w:rPr>
              <w:t>总分</w:t>
            </w:r>
          </w:p>
        </w:tc>
        <w:tc>
          <w:tcPr>
            <w:tcW w:w="355" w:type="pct"/>
            <w:vAlign w:val="center"/>
          </w:tcPr>
          <w:p w14:paraId="53F86829">
            <w:pPr>
              <w:jc w:val="center"/>
              <w:rPr>
                <w:rFonts w:ascii="Times New Roman" w:hAnsi="Times New Roman" w:cs="Times New Roman"/>
                <w:szCs w:val="21"/>
              </w:rPr>
            </w:pPr>
            <w:r>
              <w:rPr>
                <w:rFonts w:ascii="Times New Roman" w:hAnsi="Times New Roman" w:cs="Times New Roman"/>
                <w:szCs w:val="21"/>
              </w:rPr>
              <w:t>100分</w:t>
            </w:r>
          </w:p>
        </w:tc>
        <w:tc>
          <w:tcPr>
            <w:tcW w:w="327" w:type="pct"/>
            <w:vAlign w:val="center"/>
          </w:tcPr>
          <w:p w14:paraId="7BC0E108">
            <w:pPr>
              <w:jc w:val="center"/>
              <w:rPr>
                <w:rFonts w:ascii="Times New Roman" w:hAnsi="Times New Roman" w:cs="Times New Roman"/>
                <w:szCs w:val="21"/>
              </w:rPr>
            </w:pPr>
          </w:p>
        </w:tc>
      </w:tr>
      <w:tr w14:paraId="5924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gridSpan w:val="2"/>
            <w:vAlign w:val="center"/>
          </w:tcPr>
          <w:p w14:paraId="01552ED9">
            <w:pPr>
              <w:jc w:val="center"/>
              <w:rPr>
                <w:rFonts w:ascii="Times New Roman" w:hAnsi="Times New Roman" w:cs="Times New Roman"/>
                <w:szCs w:val="21"/>
              </w:rPr>
            </w:pPr>
            <w:r>
              <w:rPr>
                <w:rFonts w:ascii="Times New Roman" w:hAnsi="Times New Roman" w:cs="Times New Roman"/>
                <w:szCs w:val="21"/>
              </w:rPr>
              <w:t>评标人签字</w:t>
            </w:r>
          </w:p>
        </w:tc>
        <w:tc>
          <w:tcPr>
            <w:tcW w:w="3862" w:type="pct"/>
            <w:gridSpan w:val="2"/>
            <w:vAlign w:val="center"/>
          </w:tcPr>
          <w:p w14:paraId="719BDF25">
            <w:pPr>
              <w:jc w:val="center"/>
              <w:rPr>
                <w:rFonts w:ascii="Times New Roman" w:hAnsi="Times New Roman" w:cs="Times New Roman"/>
                <w:szCs w:val="21"/>
              </w:rPr>
            </w:pPr>
          </w:p>
        </w:tc>
        <w:tc>
          <w:tcPr>
            <w:tcW w:w="327" w:type="pct"/>
            <w:vAlign w:val="center"/>
          </w:tcPr>
          <w:p w14:paraId="03CC8C06">
            <w:pPr>
              <w:jc w:val="center"/>
              <w:rPr>
                <w:rFonts w:ascii="Times New Roman" w:hAnsi="Times New Roman" w:cs="Times New Roman"/>
                <w:szCs w:val="21"/>
              </w:rPr>
            </w:pPr>
          </w:p>
        </w:tc>
      </w:tr>
    </w:tbl>
    <w:p w14:paraId="7431B3C1">
      <w:pPr>
        <w:jc w:val="left"/>
        <w:rPr>
          <w:sz w:val="18"/>
          <w:szCs w:val="18"/>
        </w:rPr>
      </w:pPr>
      <w:r>
        <w:rPr>
          <w:rFonts w:hint="eastAsia"/>
          <w:sz w:val="18"/>
          <w:szCs w:val="18"/>
        </w:rPr>
        <w:t>说明：所有认证、证明和业绩均以有效的证明文件的复印件为依据。</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F5"/>
    <w:rsid w:val="00001B28"/>
    <w:rsid w:val="00004896"/>
    <w:rsid w:val="00031DFF"/>
    <w:rsid w:val="0003529C"/>
    <w:rsid w:val="00081494"/>
    <w:rsid w:val="000A0661"/>
    <w:rsid w:val="000A7C0F"/>
    <w:rsid w:val="000B5BBC"/>
    <w:rsid w:val="000D2507"/>
    <w:rsid w:val="001260AE"/>
    <w:rsid w:val="00162D1D"/>
    <w:rsid w:val="0021407A"/>
    <w:rsid w:val="002847FF"/>
    <w:rsid w:val="002A7CDE"/>
    <w:rsid w:val="002D564F"/>
    <w:rsid w:val="002F4F20"/>
    <w:rsid w:val="003225BD"/>
    <w:rsid w:val="00347034"/>
    <w:rsid w:val="0035047F"/>
    <w:rsid w:val="003A11D4"/>
    <w:rsid w:val="003C26C5"/>
    <w:rsid w:val="003F3074"/>
    <w:rsid w:val="004025B2"/>
    <w:rsid w:val="0041729E"/>
    <w:rsid w:val="00444D6B"/>
    <w:rsid w:val="00456BEF"/>
    <w:rsid w:val="00482C95"/>
    <w:rsid w:val="004F3F8E"/>
    <w:rsid w:val="0052460E"/>
    <w:rsid w:val="00527ADD"/>
    <w:rsid w:val="005A228F"/>
    <w:rsid w:val="005D0DFB"/>
    <w:rsid w:val="005D1E2C"/>
    <w:rsid w:val="005D4153"/>
    <w:rsid w:val="00610ACF"/>
    <w:rsid w:val="00612BE0"/>
    <w:rsid w:val="00634D5F"/>
    <w:rsid w:val="00637EF5"/>
    <w:rsid w:val="006554E1"/>
    <w:rsid w:val="006723BB"/>
    <w:rsid w:val="00714F21"/>
    <w:rsid w:val="00755C9E"/>
    <w:rsid w:val="00772EDD"/>
    <w:rsid w:val="00781BEE"/>
    <w:rsid w:val="00797994"/>
    <w:rsid w:val="007D17B4"/>
    <w:rsid w:val="00811CD2"/>
    <w:rsid w:val="00830A3D"/>
    <w:rsid w:val="00853D18"/>
    <w:rsid w:val="00865EBD"/>
    <w:rsid w:val="008E68E6"/>
    <w:rsid w:val="00917994"/>
    <w:rsid w:val="009922BF"/>
    <w:rsid w:val="009B509D"/>
    <w:rsid w:val="009D7344"/>
    <w:rsid w:val="009F78F9"/>
    <w:rsid w:val="00A0649B"/>
    <w:rsid w:val="00A06EFC"/>
    <w:rsid w:val="00A645C7"/>
    <w:rsid w:val="00AA61E4"/>
    <w:rsid w:val="00AB276D"/>
    <w:rsid w:val="00AF23AC"/>
    <w:rsid w:val="00B11507"/>
    <w:rsid w:val="00B17FC2"/>
    <w:rsid w:val="00B26857"/>
    <w:rsid w:val="00B31190"/>
    <w:rsid w:val="00BA0DF8"/>
    <w:rsid w:val="00BE0612"/>
    <w:rsid w:val="00C84189"/>
    <w:rsid w:val="00CC4F6C"/>
    <w:rsid w:val="00CD2B60"/>
    <w:rsid w:val="00D621DD"/>
    <w:rsid w:val="00D740D4"/>
    <w:rsid w:val="00DA29E4"/>
    <w:rsid w:val="00DE72B3"/>
    <w:rsid w:val="00E66D8E"/>
    <w:rsid w:val="00E97D75"/>
    <w:rsid w:val="00EA330F"/>
    <w:rsid w:val="00EC1665"/>
    <w:rsid w:val="00EE65AC"/>
    <w:rsid w:val="00F0718B"/>
    <w:rsid w:val="00F1161C"/>
    <w:rsid w:val="00F643CB"/>
    <w:rsid w:val="00F86F1F"/>
    <w:rsid w:val="00FB2E17"/>
    <w:rsid w:val="00FD3148"/>
    <w:rsid w:val="00FF0F79"/>
    <w:rsid w:val="021D72E7"/>
    <w:rsid w:val="0D951874"/>
    <w:rsid w:val="18994CDE"/>
    <w:rsid w:val="4BEB81BF"/>
    <w:rsid w:val="4F661BAA"/>
    <w:rsid w:val="5FFB8B3D"/>
    <w:rsid w:val="641769D4"/>
    <w:rsid w:val="6E96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9"/>
    <w:link w:val="2"/>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9"/>
    <w:link w:val="3"/>
    <w:semiHidden/>
    <w:qFormat/>
    <w:uiPriority w:val="99"/>
    <w:rPr>
      <w:sz w:val="18"/>
      <w:szCs w:val="18"/>
    </w:rPr>
  </w:style>
  <w:style w:type="paragraph" w:customStyle="1" w:styleId="17">
    <w:name w:val="Table Text"/>
    <w:basedOn w:val="1"/>
    <w:semiHidden/>
    <w:qFormat/>
    <w:uiPriority w:val="0"/>
    <w:rPr>
      <w:rFonts w:ascii="宋体" w:hAnsi="宋体" w:eastAsia="宋体" w:cs="宋体"/>
      <w:sz w:val="29"/>
      <w:szCs w:val="29"/>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1407</Words>
  <Characters>1445</Characters>
  <Lines>52</Lines>
  <Paragraphs>44</Paragraphs>
  <TotalTime>0</TotalTime>
  <ScaleCrop>false</ScaleCrop>
  <LinksUpToDate>false</LinksUpToDate>
  <CharactersWithSpaces>1445</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2025-08-22T19:44:00Z</dcterms:created>
  <dc:creator>Administrator</dc:creator>
  <cp:lastModifiedBy>casic</cp:lastModifiedBy>
  <cp:lastPrinted>2018-06-13T19:29:00Z</cp:lastPrinted>
  <dcterms:modified xsi:type="dcterms:W3CDTF">2025-09-02T10:13:52Z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9B7E95EFE6954290876243DE9E9F2EB9_13</vt:lpwstr>
  </property>
  <property fmtid="{D5CDD505-2E9C-101B-9397-08002B2CF9AE}" pid="4" name="KSOTemplateDocerSaveRecord">
    <vt:lpwstr>eyJoZGlkIjoiYTUwMmVlYmM0ZmYzODFlMzI5ZTU2OWY5ZDdkYjEzY2IiLCJ1c2VySWQiOiI0NDc3ODk5NjAifQ==</vt:lpwstr>
  </property>
</Properties>
</file>