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exact"/>
        <w:ind w:left="0"/>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bCs/>
          <w:spacing w:val="27"/>
          <w:sz w:val="32"/>
          <w:szCs w:val="32"/>
        </w:rPr>
        <w:t>附件</w:t>
      </w:r>
    </w:p>
    <w:p>
      <w:pPr>
        <w:pStyle w:val="2"/>
        <w:keepNext w:val="0"/>
        <w:keepLines w:val="0"/>
        <w:pageBreakBefore w:val="0"/>
        <w:widowControl/>
        <w:kinsoku w:val="0"/>
        <w:wordWrap/>
        <w:overflowPunct/>
        <w:topLinePunct w:val="0"/>
        <w:autoSpaceDE w:val="0"/>
        <w:autoSpaceDN w:val="0"/>
        <w:bidi w:val="0"/>
        <w:adjustRightInd w:val="0"/>
        <w:snapToGrid w:val="0"/>
        <w:spacing w:line="660" w:lineRule="exact"/>
        <w:jc w:val="center"/>
        <w:textAlignment w:val="baseline"/>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b/>
          <w:bCs/>
          <w:spacing w:val="12"/>
          <w:sz w:val="44"/>
          <w:szCs w:val="44"/>
          <w:lang w:val="en-US" w:eastAsia="zh-CN"/>
        </w:rPr>
        <w:t>建邺区政府部门</w:t>
      </w:r>
      <w:r>
        <w:rPr>
          <w:rFonts w:hint="eastAsia" w:ascii="方正小标宋_GBK" w:hAnsi="方正小标宋_GBK" w:eastAsia="方正小标宋_GBK" w:cs="方正小标宋_GBK"/>
          <w:b/>
          <w:bCs/>
          <w:spacing w:val="12"/>
          <w:sz w:val="44"/>
          <w:szCs w:val="44"/>
          <w:lang w:eastAsia="zh-CN"/>
        </w:rPr>
        <w:t>及下属</w:t>
      </w:r>
      <w:r>
        <w:rPr>
          <w:rFonts w:hint="eastAsia" w:ascii="方正小标宋_GBK" w:hAnsi="方正小标宋_GBK" w:eastAsia="方正小标宋_GBK" w:cs="方正小标宋_GBK"/>
          <w:b/>
          <w:bCs/>
          <w:color w:val="auto"/>
          <w:spacing w:val="12"/>
          <w:sz w:val="44"/>
          <w:szCs w:val="44"/>
          <w:lang w:eastAsia="zh-CN"/>
        </w:rPr>
        <w:t>事业</w:t>
      </w:r>
      <w:r>
        <w:rPr>
          <w:rFonts w:hint="eastAsia" w:ascii="方正小标宋_GBK" w:hAnsi="方正小标宋_GBK" w:eastAsia="方正小标宋_GBK" w:cs="方正小标宋_GBK"/>
          <w:b/>
          <w:bCs/>
          <w:spacing w:val="12"/>
          <w:sz w:val="44"/>
          <w:szCs w:val="44"/>
          <w:lang w:eastAsia="zh-CN"/>
        </w:rPr>
        <w:t>单位综合性目录清单</w:t>
      </w:r>
    </w:p>
    <w:bookmarkEnd w:id="0"/>
    <w:p>
      <w:pPr>
        <w:keepNext w:val="0"/>
        <w:keepLines w:val="0"/>
        <w:pageBreakBefore w:val="0"/>
        <w:widowControl/>
        <w:kinsoku w:val="0"/>
        <w:wordWrap/>
        <w:overflowPunct/>
        <w:topLinePunct w:val="0"/>
        <w:autoSpaceDE w:val="0"/>
        <w:autoSpaceDN w:val="0"/>
        <w:bidi w:val="0"/>
        <w:adjustRightInd w:val="0"/>
        <w:snapToGrid w:val="0"/>
        <w:spacing w:line="360" w:lineRule="exact"/>
        <w:ind w:left="0"/>
        <w:rPr>
          <w:rFonts w:hint="eastAsia" w:ascii="仿宋" w:hAnsi="仿宋" w:eastAsia="仿宋" w:cs="仿宋"/>
          <w:lang w:eastAsia="zh-CN"/>
        </w:rPr>
      </w:pPr>
    </w:p>
    <w:tbl>
      <w:tblPr>
        <w:tblStyle w:val="8"/>
        <w:tblW w:w="506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8"/>
        <w:gridCol w:w="1417"/>
        <w:gridCol w:w="1436"/>
        <w:gridCol w:w="1606"/>
        <w:gridCol w:w="1601"/>
        <w:gridCol w:w="1620"/>
        <w:gridCol w:w="2913"/>
        <w:gridCol w:w="4252"/>
        <w:gridCol w:w="2816"/>
        <w:gridCol w:w="3000"/>
        <w:gridCol w:w="1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06" w:hRule="atLeast"/>
        </w:trPr>
        <w:tc>
          <w:tcPr>
            <w:tcW w:w="156"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rPr>
                <w:rFonts w:hint="eastAsia" w:ascii="仿宋" w:hAnsi="仿宋" w:eastAsia="仿宋" w:cs="仿宋"/>
                <w:b/>
                <w:bCs/>
                <w:snapToGrid w:val="0"/>
                <w:color w:val="000000"/>
                <w:sz w:val="29"/>
                <w:szCs w:val="29"/>
                <w:lang w:val="en-US" w:eastAsia="zh-CN" w:bidi="ar-SA"/>
              </w:rPr>
            </w:pPr>
            <w:r>
              <w:rPr>
                <w:rFonts w:hint="eastAsia" w:ascii="仿宋" w:hAnsi="仿宋" w:eastAsia="仿宋" w:cs="仿宋"/>
                <w:b/>
                <w:bCs/>
                <w:sz w:val="29"/>
                <w:szCs w:val="29"/>
                <w:lang w:val="en-US" w:eastAsia="zh-CN"/>
              </w:rPr>
              <w:t>序号</w:t>
            </w:r>
          </w:p>
        </w:tc>
        <w:tc>
          <w:tcPr>
            <w:tcW w:w="308"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eastAsia" w:ascii="仿宋" w:hAnsi="仿宋" w:eastAsia="仿宋" w:cs="仿宋"/>
                <w:b/>
                <w:bCs/>
                <w:sz w:val="29"/>
                <w:szCs w:val="29"/>
              </w:rPr>
            </w:pPr>
            <w:r>
              <w:rPr>
                <w:rFonts w:hint="eastAsia" w:ascii="仿宋" w:hAnsi="仿宋" w:eastAsia="仿宋" w:cs="仿宋"/>
                <w:b/>
                <w:bCs/>
                <w:sz w:val="29"/>
                <w:szCs w:val="29"/>
              </w:rPr>
              <w:t>部门名称</w:t>
            </w:r>
          </w:p>
        </w:tc>
        <w:tc>
          <w:tcPr>
            <w:tcW w:w="312"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eastAsia" w:ascii="仿宋" w:hAnsi="仿宋" w:eastAsia="仿宋" w:cs="仿宋"/>
                <w:b/>
                <w:bCs/>
                <w:sz w:val="29"/>
                <w:szCs w:val="29"/>
              </w:rPr>
            </w:pPr>
            <w:r>
              <w:rPr>
                <w:rFonts w:hint="eastAsia" w:ascii="仿宋" w:hAnsi="仿宋" w:eastAsia="仿宋" w:cs="仿宋"/>
                <w:b/>
                <w:bCs/>
                <w:sz w:val="29"/>
                <w:szCs w:val="29"/>
              </w:rPr>
              <w:t>收费单位名称</w:t>
            </w:r>
          </w:p>
        </w:tc>
        <w:tc>
          <w:tcPr>
            <w:tcW w:w="349"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eastAsia" w:ascii="仿宋" w:hAnsi="仿宋" w:eastAsia="仿宋" w:cs="仿宋"/>
                <w:b/>
                <w:bCs/>
                <w:sz w:val="29"/>
                <w:szCs w:val="29"/>
              </w:rPr>
            </w:pPr>
            <w:r>
              <w:rPr>
                <w:rFonts w:hint="eastAsia" w:ascii="仿宋" w:hAnsi="仿宋" w:eastAsia="仿宋" w:cs="仿宋"/>
                <w:b/>
                <w:bCs/>
                <w:sz w:val="29"/>
                <w:szCs w:val="29"/>
              </w:rPr>
              <w:t>单位性质</w:t>
            </w:r>
          </w:p>
        </w:tc>
        <w:tc>
          <w:tcPr>
            <w:tcW w:w="348"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eastAsia" w:ascii="仿宋" w:hAnsi="仿宋" w:eastAsia="仿宋" w:cs="仿宋"/>
                <w:b/>
                <w:bCs/>
                <w:sz w:val="29"/>
                <w:szCs w:val="29"/>
              </w:rPr>
            </w:pPr>
            <w:r>
              <w:rPr>
                <w:rFonts w:hint="eastAsia" w:ascii="仿宋" w:hAnsi="仿宋" w:eastAsia="仿宋" w:cs="仿宋"/>
                <w:b/>
                <w:bCs/>
                <w:sz w:val="29"/>
                <w:szCs w:val="29"/>
              </w:rPr>
              <w:t>收费项目</w:t>
            </w:r>
          </w:p>
        </w:tc>
        <w:tc>
          <w:tcPr>
            <w:tcW w:w="352"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eastAsia" w:ascii="仿宋" w:hAnsi="仿宋" w:eastAsia="仿宋" w:cs="仿宋"/>
                <w:b/>
                <w:bCs/>
                <w:sz w:val="29"/>
                <w:szCs w:val="29"/>
              </w:rPr>
            </w:pPr>
            <w:r>
              <w:rPr>
                <w:rFonts w:hint="eastAsia" w:ascii="仿宋" w:hAnsi="仿宋" w:eastAsia="仿宋" w:cs="仿宋"/>
                <w:b/>
                <w:bCs/>
                <w:sz w:val="29"/>
                <w:szCs w:val="29"/>
              </w:rPr>
              <w:t>收费性质</w:t>
            </w:r>
          </w:p>
        </w:tc>
        <w:tc>
          <w:tcPr>
            <w:tcW w:w="633"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eastAsia" w:ascii="仿宋" w:hAnsi="仿宋" w:eastAsia="仿宋" w:cs="仿宋"/>
                <w:b/>
                <w:bCs/>
                <w:sz w:val="29"/>
                <w:szCs w:val="29"/>
              </w:rPr>
            </w:pPr>
            <w:r>
              <w:rPr>
                <w:rFonts w:hint="eastAsia" w:ascii="仿宋" w:hAnsi="仿宋" w:eastAsia="仿宋" w:cs="仿宋"/>
                <w:b/>
                <w:bCs/>
                <w:sz w:val="29"/>
                <w:szCs w:val="29"/>
              </w:rPr>
              <w:t>服务内容或涉及事项</w:t>
            </w:r>
          </w:p>
        </w:tc>
        <w:tc>
          <w:tcPr>
            <w:tcW w:w="924"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eastAsia" w:ascii="仿宋" w:hAnsi="仿宋" w:eastAsia="仿宋" w:cs="仿宋"/>
                <w:b/>
                <w:bCs/>
                <w:sz w:val="29"/>
                <w:szCs w:val="29"/>
              </w:rPr>
            </w:pPr>
            <w:r>
              <w:rPr>
                <w:rFonts w:hint="eastAsia" w:ascii="仿宋" w:hAnsi="仿宋" w:eastAsia="仿宋" w:cs="仿宋"/>
                <w:b/>
                <w:bCs/>
                <w:sz w:val="29"/>
                <w:szCs w:val="29"/>
              </w:rPr>
              <w:t>收费标准</w:t>
            </w:r>
          </w:p>
        </w:tc>
        <w:tc>
          <w:tcPr>
            <w:tcW w:w="612"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eastAsia" w:ascii="仿宋" w:hAnsi="仿宋" w:eastAsia="仿宋" w:cs="仿宋"/>
                <w:b/>
                <w:bCs/>
                <w:sz w:val="29"/>
                <w:szCs w:val="29"/>
              </w:rPr>
            </w:pPr>
            <w:r>
              <w:rPr>
                <w:rFonts w:hint="eastAsia" w:ascii="仿宋" w:hAnsi="仿宋" w:eastAsia="仿宋" w:cs="仿宋"/>
                <w:b/>
                <w:bCs/>
                <w:sz w:val="29"/>
                <w:szCs w:val="29"/>
              </w:rPr>
              <w:t>标准制定方式及部门</w:t>
            </w:r>
          </w:p>
        </w:tc>
        <w:tc>
          <w:tcPr>
            <w:tcW w:w="652"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eastAsia" w:ascii="仿宋" w:hAnsi="仿宋" w:eastAsia="仿宋" w:cs="仿宋"/>
                <w:b/>
                <w:bCs/>
                <w:sz w:val="29"/>
                <w:szCs w:val="29"/>
              </w:rPr>
            </w:pPr>
            <w:r>
              <w:rPr>
                <w:rFonts w:hint="eastAsia" w:ascii="仿宋" w:hAnsi="仿宋" w:eastAsia="仿宋" w:cs="仿宋"/>
                <w:b/>
                <w:bCs/>
                <w:sz w:val="29"/>
                <w:szCs w:val="29"/>
              </w:rPr>
              <w:t>政策依据</w:t>
            </w:r>
          </w:p>
        </w:tc>
        <w:tc>
          <w:tcPr>
            <w:tcW w:w="349"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eastAsia" w:ascii="仿宋" w:hAnsi="仿宋" w:eastAsia="仿宋" w:cs="仿宋"/>
                <w:b/>
                <w:bCs/>
                <w:sz w:val="29"/>
                <w:szCs w:val="29"/>
              </w:rPr>
            </w:pPr>
            <w:r>
              <w:rPr>
                <w:rFonts w:hint="eastAsia" w:ascii="仿宋" w:hAnsi="仿宋" w:eastAsia="仿宋" w:cs="仿宋"/>
                <w:b/>
                <w:bCs/>
                <w:sz w:val="29"/>
                <w:szCs w:val="29"/>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156"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val="en-US" w:eastAsia="zh-CN"/>
              </w:rPr>
              <w:t>1</w:t>
            </w:r>
          </w:p>
        </w:tc>
        <w:tc>
          <w:tcPr>
            <w:tcW w:w="308" w:type="pct"/>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水务局</w:t>
            </w:r>
          </w:p>
        </w:tc>
        <w:tc>
          <w:tcPr>
            <w:tcW w:w="312" w:type="pct"/>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本级</w:t>
            </w:r>
          </w:p>
        </w:tc>
        <w:tc>
          <w:tcPr>
            <w:tcW w:w="349"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政府部门</w:t>
            </w:r>
          </w:p>
        </w:tc>
        <w:tc>
          <w:tcPr>
            <w:tcW w:w="348"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水土保持补偿费</w:t>
            </w:r>
          </w:p>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rPr>
            </w:pPr>
          </w:p>
        </w:tc>
        <w:tc>
          <w:tcPr>
            <w:tcW w:w="352"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行政事业性收费</w:t>
            </w:r>
          </w:p>
        </w:tc>
        <w:tc>
          <w:tcPr>
            <w:tcW w:w="633"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水土流失预防和治理工作</w:t>
            </w:r>
          </w:p>
        </w:tc>
        <w:tc>
          <w:tcPr>
            <w:tcW w:w="924"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一般建设型生产项目苏南五市按照征占用土地面积每平方米1.2元一次性计征，其他市每平方米1元。</w:t>
            </w:r>
            <w:r>
              <w:rPr>
                <w:rFonts w:hint="eastAsia" w:ascii="Times New Roman" w:hAnsi="Times New Roman" w:eastAsia="方正仿宋_GBK" w:cs="Times New Roman"/>
                <w:sz w:val="28"/>
                <w:szCs w:val="28"/>
                <w:highlight w:val="none"/>
                <w:lang w:val="en-US" w:eastAsia="zh-CN"/>
              </w:rPr>
              <w:t>其他</w:t>
            </w:r>
            <w:r>
              <w:rPr>
                <w:rFonts w:hint="default" w:ascii="Times New Roman" w:hAnsi="Times New Roman" w:eastAsia="方正仿宋_GBK" w:cs="Times New Roman"/>
                <w:sz w:val="28"/>
                <w:szCs w:val="28"/>
                <w:highlight w:val="none"/>
                <w:lang w:val="en-US" w:eastAsia="zh-CN"/>
              </w:rPr>
              <w:t>项目见文件。按照1:9的比例分别上缴中央和同级地方国库。</w:t>
            </w:r>
          </w:p>
        </w:tc>
        <w:tc>
          <w:tcPr>
            <w:tcW w:w="612"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江苏省财政厅</w:t>
            </w:r>
          </w:p>
        </w:tc>
        <w:tc>
          <w:tcPr>
            <w:tcW w:w="652"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《中华人民共和国水土保持法》</w:t>
            </w:r>
            <w:r>
              <w:rPr>
                <w:rFonts w:hint="eastAsia" w:ascii="Times New Roman" w:hAnsi="Times New Roman" w:eastAsia="方正仿宋_GBK" w:cs="Times New Roman"/>
                <w:sz w:val="28"/>
                <w:szCs w:val="28"/>
                <w:highlight w:val="none"/>
                <w:lang w:val="en-US"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苏财综〔2014〕39号</w:t>
            </w:r>
            <w:r>
              <w:rPr>
                <w:rFonts w:hint="eastAsia" w:ascii="Times New Roman" w:hAnsi="Times New Roman" w:eastAsia="方正仿宋_GBK" w:cs="Times New Roman"/>
                <w:sz w:val="28"/>
                <w:szCs w:val="28"/>
                <w:highlight w:val="none"/>
                <w:lang w:val="en-US"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eastAsia"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发改价格〔2017〕1186号</w:t>
            </w:r>
            <w:r>
              <w:rPr>
                <w:rFonts w:hint="eastAsia" w:ascii="Times New Roman" w:hAnsi="Times New Roman" w:eastAsia="方正仿宋_GBK" w:cs="Times New Roman"/>
                <w:sz w:val="28"/>
                <w:szCs w:val="28"/>
                <w:highlight w:val="none"/>
                <w:lang w:val="en-US"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eastAsia"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苏价服〔2017〕115号</w:t>
            </w:r>
            <w:r>
              <w:rPr>
                <w:rFonts w:hint="eastAsia" w:ascii="Times New Roman" w:hAnsi="Times New Roman" w:eastAsia="方正仿宋_GBK" w:cs="Times New Roman"/>
                <w:sz w:val="28"/>
                <w:szCs w:val="28"/>
                <w:highlight w:val="none"/>
                <w:lang w:val="en-US"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eastAsia"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苏价农〔2018〕112号</w:t>
            </w:r>
            <w:r>
              <w:rPr>
                <w:rFonts w:hint="eastAsia" w:ascii="Times New Roman" w:hAnsi="Times New Roman" w:eastAsia="方正仿宋_GBK" w:cs="Times New Roman"/>
                <w:sz w:val="28"/>
                <w:szCs w:val="28"/>
                <w:highlight w:val="none"/>
                <w:lang w:val="en-US"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eastAsia"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财税〔2020〕58号</w:t>
            </w:r>
            <w:r>
              <w:rPr>
                <w:rFonts w:hint="eastAsia" w:ascii="Times New Roman" w:hAnsi="Times New Roman" w:eastAsia="方正仿宋_GBK" w:cs="Times New Roman"/>
                <w:sz w:val="28"/>
                <w:szCs w:val="28"/>
                <w:highlight w:val="none"/>
                <w:lang w:val="en-US"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财税〔2023〕9号</w:t>
            </w:r>
            <w:r>
              <w:rPr>
                <w:rFonts w:hint="eastAsia" w:ascii="Times New Roman" w:hAnsi="Times New Roman" w:eastAsia="方正仿宋_GBK" w:cs="Times New Roman"/>
                <w:sz w:val="28"/>
                <w:szCs w:val="28"/>
                <w:highlight w:val="none"/>
                <w:lang w:val="en-US" w:eastAsia="zh-CN"/>
              </w:rPr>
              <w:t>。</w:t>
            </w:r>
          </w:p>
        </w:tc>
        <w:tc>
          <w:tcPr>
            <w:tcW w:w="349"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由税务代收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61" w:hRule="atLeast"/>
        </w:trPr>
        <w:tc>
          <w:tcPr>
            <w:tcW w:w="15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default" w:ascii="Times New Roman" w:hAnsi="Times New Roman" w:eastAsia="方正仿宋_GBK" w:cs="Times New Roman"/>
                <w:sz w:val="29"/>
                <w:szCs w:val="29"/>
                <w:lang w:val="en-US" w:eastAsia="zh-CN"/>
              </w:rPr>
            </w:pPr>
            <w:r>
              <w:rPr>
                <w:rFonts w:hint="default" w:ascii="Times New Roman" w:hAnsi="Times New Roman" w:eastAsia="方正仿宋_GBK" w:cs="Times New Roman"/>
                <w:sz w:val="29"/>
                <w:szCs w:val="29"/>
                <w:lang w:val="en-US" w:eastAsia="zh-CN"/>
              </w:rPr>
              <w:t>2</w:t>
            </w:r>
          </w:p>
        </w:tc>
        <w:tc>
          <w:tcPr>
            <w:tcW w:w="30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司法局</w:t>
            </w:r>
          </w:p>
        </w:tc>
        <w:tc>
          <w:tcPr>
            <w:tcW w:w="3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建邺公证处</w:t>
            </w:r>
          </w:p>
        </w:tc>
        <w:tc>
          <w:tcPr>
            <w:tcW w:w="349"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事业单位</w:t>
            </w:r>
          </w:p>
        </w:tc>
        <w:tc>
          <w:tcPr>
            <w:tcW w:w="34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eastAsia="zh-CN"/>
              </w:rPr>
              <w:t>公证费</w:t>
            </w:r>
          </w:p>
        </w:tc>
        <w:tc>
          <w:tcPr>
            <w:tcW w:w="3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经营服务性收费</w:t>
            </w:r>
          </w:p>
        </w:tc>
        <w:tc>
          <w:tcPr>
            <w:tcW w:w="633"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证明证书、执照和文书上的签名、印鉴、日期属实或者相符，证明文书的副本、影印本、节本和译本与原本相符及其他相同证明</w:t>
            </w:r>
          </w:p>
        </w:tc>
        <w:tc>
          <w:tcPr>
            <w:tcW w:w="924"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法人及其他组织每件收费500元</w:t>
            </w:r>
          </w:p>
        </w:tc>
        <w:tc>
          <w:tcPr>
            <w:tcW w:w="6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政府制定</w:t>
            </w:r>
            <w:r>
              <w:rPr>
                <w:rFonts w:hint="eastAsia" w:ascii="Times New Roman" w:hAnsi="Times New Roman" w:eastAsia="方正仿宋_GBK" w:cs="Times New Roman"/>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江苏省发展改革委</w:t>
            </w:r>
            <w:r>
              <w:rPr>
                <w:rFonts w:hint="eastAsia" w:ascii="Times New Roman" w:hAnsi="Times New Roman" w:eastAsia="方正仿宋_GBK" w:cs="Times New Roman"/>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eastAsia="zh-CN"/>
              </w:rPr>
              <w:t>江苏省司法厅</w:t>
            </w:r>
          </w:p>
        </w:tc>
        <w:tc>
          <w:tcPr>
            <w:tcW w:w="6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textAlignment w:val="baseline"/>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省发展改革委 省司法厅关于公布江苏省实行政府指导价管理的公证服务项目目录及收费标准的通知</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苏发改收费发〔2024〕144号</w:t>
            </w:r>
            <w:r>
              <w:rPr>
                <w:rFonts w:hint="eastAsia" w:ascii="Times New Roman" w:hAnsi="Times New Roman" w:eastAsia="方正仿宋_GBK" w:cs="Times New Roman"/>
                <w:sz w:val="28"/>
                <w:szCs w:val="28"/>
                <w:lang w:eastAsia="zh-CN"/>
              </w:rPr>
              <w:t>）</w:t>
            </w:r>
          </w:p>
        </w:tc>
        <w:tc>
          <w:tcPr>
            <w:tcW w:w="349" w:type="pct"/>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38" w:hRule="atLeast"/>
        </w:trPr>
        <w:tc>
          <w:tcPr>
            <w:tcW w:w="15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default" w:ascii="Times New Roman" w:hAnsi="Times New Roman" w:eastAsia="方正仿宋_GBK" w:cs="Times New Roman"/>
                <w:sz w:val="29"/>
                <w:szCs w:val="29"/>
                <w:lang w:val="en-US" w:eastAsia="zh-CN"/>
              </w:rPr>
            </w:pPr>
            <w:r>
              <w:rPr>
                <w:rFonts w:hint="default" w:ascii="Times New Roman" w:hAnsi="Times New Roman" w:eastAsia="方正仿宋_GBK" w:cs="Times New Roman"/>
                <w:sz w:val="29"/>
                <w:szCs w:val="29"/>
                <w:lang w:val="en-US" w:eastAsia="zh-CN"/>
              </w:rPr>
              <w:t>3</w:t>
            </w:r>
          </w:p>
        </w:tc>
        <w:tc>
          <w:tcPr>
            <w:tcW w:w="30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司法局</w:t>
            </w:r>
          </w:p>
        </w:tc>
        <w:tc>
          <w:tcPr>
            <w:tcW w:w="3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建邺公证处</w:t>
            </w:r>
          </w:p>
        </w:tc>
        <w:tc>
          <w:tcPr>
            <w:tcW w:w="349"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事业单位</w:t>
            </w:r>
          </w:p>
        </w:tc>
        <w:tc>
          <w:tcPr>
            <w:tcW w:w="34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eastAsia="zh-CN"/>
              </w:rPr>
              <w:t>公证费</w:t>
            </w:r>
          </w:p>
        </w:tc>
        <w:tc>
          <w:tcPr>
            <w:tcW w:w="3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经营服务性收费</w:t>
            </w:r>
          </w:p>
        </w:tc>
        <w:tc>
          <w:tcPr>
            <w:tcW w:w="633"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证明商事合同（协议）</w:t>
            </w:r>
          </w:p>
        </w:tc>
        <w:tc>
          <w:tcPr>
            <w:tcW w:w="924"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不涉及财产关系的每件收费400元。</w:t>
            </w:r>
          </w:p>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涉及财产关系的，根据标的额大小超额累退计费：不超过50万元的部分，按0.25%收取，最低收费400元；超过50万元至500万元的部分，按0.2%收取；超过500万元至5000万元的部分，按0.08%收取；超过5000万元至1亿元的部分，按0.04%收取；超过1亿元的部分，按0.005%收取。标的额大小不明确的，每件收费3000元。</w:t>
            </w:r>
          </w:p>
        </w:tc>
        <w:tc>
          <w:tcPr>
            <w:tcW w:w="6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政府制定</w:t>
            </w:r>
            <w:r>
              <w:rPr>
                <w:rFonts w:hint="eastAsia" w:ascii="Times New Roman" w:hAnsi="Times New Roman" w:eastAsia="方正仿宋_GBK" w:cs="Times New Roman"/>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江苏省发展改革委</w:t>
            </w:r>
            <w:r>
              <w:rPr>
                <w:rFonts w:hint="eastAsia" w:ascii="Times New Roman" w:hAnsi="Times New Roman" w:eastAsia="方正仿宋_GBK" w:cs="Times New Roman"/>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eastAsia="zh-CN"/>
              </w:rPr>
              <w:t>江苏省司法厅</w:t>
            </w:r>
          </w:p>
        </w:tc>
        <w:tc>
          <w:tcPr>
            <w:tcW w:w="6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省发展改革委 省司法厅关于公布江苏省实行政府指导价管理的公证服务项目目录及收费标准的通知</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苏发改收费发〔2024〕144号</w:t>
            </w:r>
            <w:r>
              <w:rPr>
                <w:rFonts w:hint="eastAsia" w:ascii="Times New Roman" w:hAnsi="Times New Roman" w:eastAsia="方正仿宋_GBK" w:cs="Times New Roman"/>
                <w:sz w:val="28"/>
                <w:szCs w:val="28"/>
                <w:lang w:eastAsia="zh-CN"/>
              </w:rPr>
              <w:t>）</w:t>
            </w:r>
          </w:p>
        </w:tc>
        <w:tc>
          <w:tcPr>
            <w:tcW w:w="349" w:type="pct"/>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15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default" w:ascii="Times New Roman" w:hAnsi="Times New Roman" w:eastAsia="方正仿宋_GBK" w:cs="Times New Roman"/>
                <w:sz w:val="29"/>
                <w:szCs w:val="29"/>
                <w:lang w:val="en-US" w:eastAsia="zh-CN"/>
              </w:rPr>
            </w:pPr>
            <w:r>
              <w:rPr>
                <w:rFonts w:hint="default" w:ascii="Times New Roman" w:hAnsi="Times New Roman" w:eastAsia="方正仿宋_GBK" w:cs="Times New Roman"/>
                <w:sz w:val="29"/>
                <w:szCs w:val="29"/>
                <w:lang w:val="en-US" w:eastAsia="zh-CN"/>
              </w:rPr>
              <w:t>4</w:t>
            </w:r>
          </w:p>
        </w:tc>
        <w:tc>
          <w:tcPr>
            <w:tcW w:w="30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司法局</w:t>
            </w:r>
          </w:p>
        </w:tc>
        <w:tc>
          <w:tcPr>
            <w:tcW w:w="3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建邺公证处</w:t>
            </w:r>
          </w:p>
        </w:tc>
        <w:tc>
          <w:tcPr>
            <w:tcW w:w="349"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事业单位</w:t>
            </w:r>
          </w:p>
        </w:tc>
        <w:tc>
          <w:tcPr>
            <w:tcW w:w="34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eastAsia="zh-CN"/>
              </w:rPr>
              <w:t>公证费</w:t>
            </w:r>
          </w:p>
        </w:tc>
        <w:tc>
          <w:tcPr>
            <w:tcW w:w="3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经营服务性收费</w:t>
            </w:r>
          </w:p>
        </w:tc>
        <w:tc>
          <w:tcPr>
            <w:tcW w:w="633"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证明委托、声明、保证、认领亲子等其他单方法律行为</w:t>
            </w:r>
          </w:p>
        </w:tc>
        <w:tc>
          <w:tcPr>
            <w:tcW w:w="924"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法人及其他组织每件收费500元。</w:t>
            </w:r>
          </w:p>
        </w:tc>
        <w:tc>
          <w:tcPr>
            <w:tcW w:w="6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政府制定</w:t>
            </w:r>
            <w:r>
              <w:rPr>
                <w:rFonts w:hint="eastAsia" w:ascii="Times New Roman" w:hAnsi="Times New Roman" w:eastAsia="方正仿宋_GBK" w:cs="Times New Roman"/>
                <w:sz w:val="28"/>
                <w:szCs w:val="28"/>
                <w:lang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江苏省发展改革委</w:t>
            </w:r>
            <w:r>
              <w:rPr>
                <w:rFonts w:hint="eastAsia" w:ascii="Times New Roman" w:hAnsi="Times New Roman" w:eastAsia="方正仿宋_GBK" w:cs="Times New Roman"/>
                <w:sz w:val="28"/>
                <w:szCs w:val="28"/>
                <w:lang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eastAsia="zh-CN"/>
              </w:rPr>
              <w:t>江苏省司法厅</w:t>
            </w:r>
          </w:p>
        </w:tc>
        <w:tc>
          <w:tcPr>
            <w:tcW w:w="652"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省发展改革委 省司法厅关于公布江苏省实行政府指导价管理的公证服务项目目录及收费标准的通知</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苏发改收费发〔2024〕144号</w:t>
            </w:r>
            <w:r>
              <w:rPr>
                <w:rFonts w:hint="eastAsia" w:ascii="Times New Roman" w:hAnsi="Times New Roman" w:eastAsia="方正仿宋_GBK" w:cs="Times New Roman"/>
                <w:sz w:val="28"/>
                <w:szCs w:val="28"/>
                <w:lang w:eastAsia="zh-CN"/>
              </w:rPr>
              <w:t>）</w:t>
            </w:r>
          </w:p>
        </w:tc>
        <w:tc>
          <w:tcPr>
            <w:tcW w:w="349" w:type="pct"/>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9" w:hRule="atLeast"/>
        </w:trPr>
        <w:tc>
          <w:tcPr>
            <w:tcW w:w="15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default" w:ascii="Times New Roman" w:hAnsi="Times New Roman" w:eastAsia="方正仿宋_GBK" w:cs="Times New Roman"/>
                <w:sz w:val="29"/>
                <w:szCs w:val="29"/>
                <w:lang w:val="en-US" w:eastAsia="zh-CN"/>
              </w:rPr>
            </w:pPr>
            <w:r>
              <w:rPr>
                <w:rFonts w:hint="default" w:ascii="Times New Roman" w:hAnsi="Times New Roman" w:eastAsia="方正仿宋_GBK" w:cs="Times New Roman"/>
                <w:sz w:val="29"/>
                <w:szCs w:val="29"/>
                <w:lang w:val="en-US" w:eastAsia="zh-CN"/>
              </w:rPr>
              <w:t>5</w:t>
            </w:r>
          </w:p>
        </w:tc>
        <w:tc>
          <w:tcPr>
            <w:tcW w:w="30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司法局</w:t>
            </w:r>
          </w:p>
        </w:tc>
        <w:tc>
          <w:tcPr>
            <w:tcW w:w="3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建邺公证处</w:t>
            </w:r>
          </w:p>
        </w:tc>
        <w:tc>
          <w:tcPr>
            <w:tcW w:w="349"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事业单位</w:t>
            </w:r>
          </w:p>
        </w:tc>
        <w:tc>
          <w:tcPr>
            <w:tcW w:w="34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eastAsia="zh-CN"/>
              </w:rPr>
              <w:t>公证费</w:t>
            </w:r>
          </w:p>
        </w:tc>
        <w:tc>
          <w:tcPr>
            <w:tcW w:w="3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经营服务性收费</w:t>
            </w:r>
          </w:p>
        </w:tc>
        <w:tc>
          <w:tcPr>
            <w:tcW w:w="633"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证明招标投标、拍卖、挂牌等竞争性交易行为的现场监督</w:t>
            </w:r>
          </w:p>
        </w:tc>
        <w:tc>
          <w:tcPr>
            <w:tcW w:w="924"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根据标的额大小超额累退计费：不超过200万元的，每件按2000 元收取；超过200万元至1000万元的部分，按0.1%收取；超过1000万元至3000万元的部分，按 0.08%收取；超过3000万元至5000万元的部分，按0.04%收取；超过5000万元的部分，按0.008%收取。</w:t>
            </w:r>
          </w:p>
        </w:tc>
        <w:tc>
          <w:tcPr>
            <w:tcW w:w="6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政府制定</w:t>
            </w:r>
            <w:r>
              <w:rPr>
                <w:rFonts w:hint="eastAsia" w:ascii="Times New Roman" w:hAnsi="Times New Roman" w:eastAsia="方正仿宋_GBK" w:cs="Times New Roman"/>
                <w:sz w:val="28"/>
                <w:szCs w:val="28"/>
                <w:lang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江苏省发展改革委</w:t>
            </w:r>
            <w:r>
              <w:rPr>
                <w:rFonts w:hint="eastAsia" w:ascii="Times New Roman" w:hAnsi="Times New Roman" w:eastAsia="方正仿宋_GBK" w:cs="Times New Roman"/>
                <w:sz w:val="28"/>
                <w:szCs w:val="28"/>
                <w:lang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eastAsia="zh-CN"/>
              </w:rPr>
              <w:t>江苏省司法厅</w:t>
            </w:r>
          </w:p>
        </w:tc>
        <w:tc>
          <w:tcPr>
            <w:tcW w:w="652"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省发展改革委 省司法厅关于公布江苏省实行政府指导价管理的公证服务项目目录及收费标准的通知</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苏发改收费发〔2024〕144号</w:t>
            </w:r>
            <w:r>
              <w:rPr>
                <w:rFonts w:hint="eastAsia" w:ascii="Times New Roman" w:hAnsi="Times New Roman" w:eastAsia="方正仿宋_GBK" w:cs="Times New Roman"/>
                <w:sz w:val="28"/>
                <w:szCs w:val="28"/>
                <w:lang w:eastAsia="zh-CN"/>
              </w:rPr>
              <w:t>）</w:t>
            </w:r>
          </w:p>
        </w:tc>
        <w:tc>
          <w:tcPr>
            <w:tcW w:w="349" w:type="pct"/>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9" w:hRule="atLeast"/>
        </w:trPr>
        <w:tc>
          <w:tcPr>
            <w:tcW w:w="15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default" w:ascii="Times New Roman" w:hAnsi="Times New Roman" w:eastAsia="方正仿宋_GBK" w:cs="Times New Roman"/>
                <w:sz w:val="29"/>
                <w:szCs w:val="29"/>
                <w:lang w:val="en-US" w:eastAsia="zh-CN"/>
              </w:rPr>
            </w:pPr>
            <w:r>
              <w:rPr>
                <w:rFonts w:hint="default" w:ascii="Times New Roman" w:hAnsi="Times New Roman" w:eastAsia="方正仿宋_GBK" w:cs="Times New Roman"/>
                <w:sz w:val="29"/>
                <w:szCs w:val="29"/>
                <w:lang w:val="en-US" w:eastAsia="zh-CN"/>
              </w:rPr>
              <w:t>6</w:t>
            </w:r>
          </w:p>
        </w:tc>
        <w:tc>
          <w:tcPr>
            <w:tcW w:w="30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司法局</w:t>
            </w:r>
          </w:p>
        </w:tc>
        <w:tc>
          <w:tcPr>
            <w:tcW w:w="3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建邺公证处</w:t>
            </w:r>
          </w:p>
        </w:tc>
        <w:tc>
          <w:tcPr>
            <w:tcW w:w="349"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事业单位</w:t>
            </w:r>
          </w:p>
        </w:tc>
        <w:tc>
          <w:tcPr>
            <w:tcW w:w="34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eastAsia="zh-CN"/>
              </w:rPr>
              <w:t>公证费</w:t>
            </w:r>
          </w:p>
        </w:tc>
        <w:tc>
          <w:tcPr>
            <w:tcW w:w="3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经营服务性收费</w:t>
            </w:r>
          </w:p>
        </w:tc>
        <w:tc>
          <w:tcPr>
            <w:tcW w:w="633"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证明开奖、抽签、会议、订立公司章程、物品销毁、竞赛等现场监督公证</w:t>
            </w:r>
          </w:p>
        </w:tc>
        <w:tc>
          <w:tcPr>
            <w:tcW w:w="924"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val="en-US" w:eastAsia="en-US"/>
              </w:rPr>
              <w:t>1小时以内的，每件收费2000元；每超过1小时加收1000元（不足1小时的按1小时计）。</w:t>
            </w:r>
          </w:p>
        </w:tc>
        <w:tc>
          <w:tcPr>
            <w:tcW w:w="6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pacing w:val="-10"/>
                <w:sz w:val="28"/>
                <w:szCs w:val="28"/>
                <w:lang w:eastAsia="zh-CN"/>
              </w:rPr>
              <w:t>市场调节价</w:t>
            </w:r>
          </w:p>
        </w:tc>
        <w:tc>
          <w:tcPr>
            <w:tcW w:w="652"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省发展改革委 省司法厅关于公布江苏省实行政府指导价管理的公证服务项目目录及收费标准的通知</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苏发改收费发〔2024〕144号</w:t>
            </w:r>
            <w:r>
              <w:rPr>
                <w:rFonts w:hint="eastAsia" w:ascii="Times New Roman" w:hAnsi="Times New Roman" w:eastAsia="方正仿宋_GBK" w:cs="Times New Roman"/>
                <w:sz w:val="28"/>
                <w:szCs w:val="28"/>
                <w:lang w:eastAsia="zh-CN"/>
              </w:rPr>
              <w:t>）</w:t>
            </w:r>
          </w:p>
        </w:tc>
        <w:tc>
          <w:tcPr>
            <w:tcW w:w="349" w:type="pct"/>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9" w:hRule="atLeast"/>
        </w:trPr>
        <w:tc>
          <w:tcPr>
            <w:tcW w:w="15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default" w:ascii="Times New Roman" w:hAnsi="Times New Roman" w:eastAsia="方正仿宋_GBK" w:cs="Times New Roman"/>
                <w:sz w:val="29"/>
                <w:szCs w:val="29"/>
                <w:lang w:val="en-US" w:eastAsia="zh-CN"/>
              </w:rPr>
            </w:pPr>
            <w:r>
              <w:rPr>
                <w:rFonts w:hint="default" w:ascii="Times New Roman" w:hAnsi="Times New Roman" w:eastAsia="方正仿宋_GBK" w:cs="Times New Roman"/>
                <w:sz w:val="29"/>
                <w:szCs w:val="29"/>
                <w:lang w:val="en-US" w:eastAsia="zh-CN"/>
              </w:rPr>
              <w:t>7</w:t>
            </w:r>
          </w:p>
        </w:tc>
        <w:tc>
          <w:tcPr>
            <w:tcW w:w="30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司法局</w:t>
            </w:r>
          </w:p>
        </w:tc>
        <w:tc>
          <w:tcPr>
            <w:tcW w:w="3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建邺公证处</w:t>
            </w:r>
          </w:p>
        </w:tc>
        <w:tc>
          <w:tcPr>
            <w:tcW w:w="349"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事业单位</w:t>
            </w:r>
          </w:p>
        </w:tc>
        <w:tc>
          <w:tcPr>
            <w:tcW w:w="34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eastAsia="zh-CN"/>
              </w:rPr>
              <w:t>公证费</w:t>
            </w:r>
          </w:p>
        </w:tc>
        <w:tc>
          <w:tcPr>
            <w:tcW w:w="3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经营服务性收费</w:t>
            </w:r>
          </w:p>
        </w:tc>
        <w:tc>
          <w:tcPr>
            <w:tcW w:w="633"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对财产清点、购物、送达、现场状况、当事人陈述、书证、物证、视听资料、电子数据、证人证言等行为和事实保全证据公证</w:t>
            </w:r>
          </w:p>
        </w:tc>
        <w:tc>
          <w:tcPr>
            <w:tcW w:w="924"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1小时以内的，每件收费1000元-2000元；每超过1小时加收1000元（不足1小时的按1小时计）。</w:t>
            </w:r>
          </w:p>
        </w:tc>
        <w:tc>
          <w:tcPr>
            <w:tcW w:w="6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center"/>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pacing w:val="-10"/>
                <w:sz w:val="28"/>
                <w:szCs w:val="28"/>
                <w:lang w:eastAsia="zh-CN"/>
              </w:rPr>
              <w:t>市场调节价</w:t>
            </w:r>
          </w:p>
        </w:tc>
        <w:tc>
          <w:tcPr>
            <w:tcW w:w="652"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rPr>
              <w:t>省发展改革委 省司法厅关于公布江苏省实行政府指导价管理的公证服务项目目录及收费标准的通知</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苏发改收费发〔2024〕144号</w:t>
            </w:r>
            <w:r>
              <w:rPr>
                <w:rFonts w:hint="eastAsia" w:ascii="Times New Roman" w:hAnsi="Times New Roman" w:eastAsia="方正仿宋_GBK" w:cs="Times New Roman"/>
                <w:sz w:val="28"/>
                <w:szCs w:val="28"/>
                <w:lang w:eastAsia="zh-CN"/>
              </w:rPr>
              <w:t>）</w:t>
            </w:r>
          </w:p>
        </w:tc>
        <w:tc>
          <w:tcPr>
            <w:tcW w:w="349" w:type="pct"/>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24" w:hRule="atLeast"/>
        </w:trPr>
        <w:tc>
          <w:tcPr>
            <w:tcW w:w="15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default" w:ascii="Times New Roman" w:hAnsi="Times New Roman" w:eastAsia="方正仿宋_GBK" w:cs="Times New Roman"/>
                <w:sz w:val="29"/>
                <w:szCs w:val="29"/>
                <w:lang w:val="en-US" w:eastAsia="zh-CN"/>
              </w:rPr>
            </w:pPr>
            <w:r>
              <w:rPr>
                <w:rFonts w:hint="default" w:ascii="Times New Roman" w:hAnsi="Times New Roman" w:eastAsia="方正仿宋_GBK" w:cs="Times New Roman"/>
                <w:sz w:val="29"/>
                <w:szCs w:val="29"/>
                <w:lang w:val="en-US" w:eastAsia="zh-CN"/>
              </w:rPr>
              <w:t>8</w:t>
            </w:r>
          </w:p>
        </w:tc>
        <w:tc>
          <w:tcPr>
            <w:tcW w:w="30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国防动员</w:t>
            </w:r>
          </w:p>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en-US"/>
              </w:rPr>
            </w:pPr>
            <w:r>
              <w:rPr>
                <w:rFonts w:hint="default" w:ascii="Times New Roman" w:hAnsi="Times New Roman" w:eastAsia="方正仿宋_GBK" w:cs="Times New Roman"/>
                <w:sz w:val="28"/>
                <w:szCs w:val="28"/>
                <w:lang w:eastAsia="zh-CN"/>
              </w:rPr>
              <w:t>办公室</w:t>
            </w:r>
          </w:p>
        </w:tc>
        <w:tc>
          <w:tcPr>
            <w:tcW w:w="3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z w:val="28"/>
                <w:szCs w:val="28"/>
                <w:lang w:val="en-US" w:eastAsia="en-US"/>
              </w:rPr>
            </w:pPr>
            <w:r>
              <w:rPr>
                <w:rFonts w:hint="default" w:ascii="Times New Roman" w:hAnsi="Times New Roman" w:eastAsia="方正仿宋_GBK" w:cs="Times New Roman"/>
                <w:sz w:val="28"/>
                <w:szCs w:val="28"/>
                <w:lang w:val="en-US" w:eastAsia="zh-CN"/>
              </w:rPr>
              <w:t>本级</w:t>
            </w:r>
          </w:p>
        </w:tc>
        <w:tc>
          <w:tcPr>
            <w:tcW w:w="349"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z w:val="28"/>
                <w:szCs w:val="28"/>
                <w:lang w:val="en-US" w:eastAsia="en-US"/>
              </w:rPr>
            </w:pPr>
            <w:r>
              <w:rPr>
                <w:rFonts w:hint="default" w:ascii="Times New Roman" w:hAnsi="Times New Roman" w:eastAsia="方正仿宋_GBK" w:cs="Times New Roman"/>
                <w:sz w:val="28"/>
                <w:szCs w:val="28"/>
                <w:lang w:val="en-US" w:eastAsia="zh-CN"/>
              </w:rPr>
              <w:t>政府部门</w:t>
            </w:r>
          </w:p>
        </w:tc>
        <w:tc>
          <w:tcPr>
            <w:tcW w:w="34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公用人防工程使用费</w:t>
            </w:r>
          </w:p>
        </w:tc>
        <w:tc>
          <w:tcPr>
            <w:tcW w:w="3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市场调节价的经营服务性收费</w:t>
            </w:r>
          </w:p>
        </w:tc>
        <w:tc>
          <w:tcPr>
            <w:tcW w:w="633"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en-US"/>
              </w:rPr>
            </w:pPr>
            <w:r>
              <w:rPr>
                <w:rFonts w:hint="default" w:ascii="Times New Roman" w:hAnsi="Times New Roman" w:eastAsia="方正仿宋_GBK" w:cs="Times New Roman"/>
                <w:sz w:val="28"/>
                <w:szCs w:val="28"/>
                <w:lang w:eastAsia="zh-CN"/>
              </w:rPr>
              <w:t>公用人防工程使用费</w:t>
            </w:r>
          </w:p>
        </w:tc>
        <w:tc>
          <w:tcPr>
            <w:tcW w:w="924"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由区属国企根据市场情况调节</w:t>
            </w:r>
          </w:p>
        </w:tc>
        <w:tc>
          <w:tcPr>
            <w:tcW w:w="6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由区属国企根据市场情况调节</w:t>
            </w:r>
          </w:p>
        </w:tc>
        <w:tc>
          <w:tcPr>
            <w:tcW w:w="6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《关于将建邺区国动办部分公用人防工程委托区属集团统一运营和管理的请示》（建政办文〔2024〕5111号）</w:t>
            </w:r>
          </w:p>
        </w:tc>
        <w:tc>
          <w:tcPr>
            <w:tcW w:w="349"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区城建集团代收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69" w:hRule="atLeast"/>
        </w:trPr>
        <w:tc>
          <w:tcPr>
            <w:tcW w:w="15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default" w:ascii="Times New Roman" w:hAnsi="Times New Roman" w:eastAsia="方正仿宋_GBK" w:cs="Times New Roman"/>
                <w:sz w:val="29"/>
                <w:szCs w:val="29"/>
                <w:lang w:val="en-US" w:eastAsia="zh-CN"/>
              </w:rPr>
            </w:pPr>
            <w:r>
              <w:rPr>
                <w:rFonts w:hint="default" w:ascii="Times New Roman" w:hAnsi="Times New Roman" w:eastAsia="方正仿宋_GBK" w:cs="Times New Roman"/>
                <w:sz w:val="29"/>
                <w:szCs w:val="29"/>
                <w:lang w:val="en-US" w:eastAsia="zh-CN"/>
              </w:rPr>
              <w:t>9</w:t>
            </w:r>
          </w:p>
        </w:tc>
        <w:tc>
          <w:tcPr>
            <w:tcW w:w="30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国防动员</w:t>
            </w:r>
          </w:p>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en-US"/>
              </w:rPr>
            </w:pPr>
            <w:r>
              <w:rPr>
                <w:rFonts w:hint="default" w:ascii="Times New Roman" w:hAnsi="Times New Roman" w:eastAsia="方正仿宋_GBK" w:cs="Times New Roman"/>
                <w:sz w:val="28"/>
                <w:szCs w:val="28"/>
                <w:lang w:eastAsia="zh-CN"/>
              </w:rPr>
              <w:t>办公室</w:t>
            </w:r>
          </w:p>
        </w:tc>
        <w:tc>
          <w:tcPr>
            <w:tcW w:w="3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z w:val="28"/>
                <w:szCs w:val="28"/>
                <w:lang w:val="en-US" w:eastAsia="en-US"/>
              </w:rPr>
            </w:pPr>
            <w:r>
              <w:rPr>
                <w:rFonts w:hint="default" w:ascii="Times New Roman" w:hAnsi="Times New Roman" w:eastAsia="方正仿宋_GBK" w:cs="Times New Roman"/>
                <w:sz w:val="28"/>
                <w:szCs w:val="28"/>
                <w:lang w:val="en-US" w:eastAsia="zh-CN"/>
              </w:rPr>
              <w:t>本级</w:t>
            </w:r>
          </w:p>
        </w:tc>
        <w:tc>
          <w:tcPr>
            <w:tcW w:w="349"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政府</w:t>
            </w:r>
          </w:p>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textAlignment w:val="baseline"/>
              <w:rPr>
                <w:rFonts w:hint="default" w:ascii="Times New Roman" w:hAnsi="Times New Roman" w:eastAsia="方正仿宋_GBK" w:cs="Times New Roman"/>
                <w:sz w:val="28"/>
                <w:szCs w:val="28"/>
                <w:lang w:val="en-US" w:eastAsia="en-US"/>
              </w:rPr>
            </w:pPr>
            <w:r>
              <w:rPr>
                <w:rFonts w:hint="default" w:ascii="Times New Roman" w:hAnsi="Times New Roman" w:eastAsia="方正仿宋_GBK" w:cs="Times New Roman"/>
                <w:sz w:val="28"/>
                <w:szCs w:val="28"/>
                <w:lang w:val="en-US" w:eastAsia="zh-CN"/>
              </w:rPr>
              <w:t>部门</w:t>
            </w:r>
          </w:p>
        </w:tc>
        <w:tc>
          <w:tcPr>
            <w:tcW w:w="34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公用人防工程使用费</w:t>
            </w:r>
          </w:p>
        </w:tc>
        <w:tc>
          <w:tcPr>
            <w:tcW w:w="3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市场调节价的经营服务性收费</w:t>
            </w:r>
          </w:p>
        </w:tc>
        <w:tc>
          <w:tcPr>
            <w:tcW w:w="633"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en-US"/>
              </w:rPr>
            </w:pPr>
            <w:r>
              <w:rPr>
                <w:rFonts w:hint="default" w:ascii="Times New Roman" w:hAnsi="Times New Roman" w:eastAsia="方正仿宋_GBK" w:cs="Times New Roman"/>
                <w:sz w:val="28"/>
                <w:szCs w:val="28"/>
                <w:lang w:eastAsia="zh-CN"/>
              </w:rPr>
              <w:t>公用人防工程使用费</w:t>
            </w:r>
          </w:p>
        </w:tc>
        <w:tc>
          <w:tcPr>
            <w:tcW w:w="924"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由区属国企根据市场情况调节</w:t>
            </w:r>
          </w:p>
        </w:tc>
        <w:tc>
          <w:tcPr>
            <w:tcW w:w="6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由区属国企根据市场情况调节</w:t>
            </w:r>
          </w:p>
        </w:tc>
        <w:tc>
          <w:tcPr>
            <w:tcW w:w="6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《关于将建邺区国动办部分公用人防工程委托区属集团统一运营和管理的请示》（建政办文〔2024〕5111号）</w:t>
            </w:r>
          </w:p>
        </w:tc>
        <w:tc>
          <w:tcPr>
            <w:tcW w:w="349"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区水务集团代收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40" w:hRule="atLeast"/>
        </w:trPr>
        <w:tc>
          <w:tcPr>
            <w:tcW w:w="15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default" w:ascii="Times New Roman" w:hAnsi="Times New Roman" w:eastAsia="方正仿宋_GBK" w:cs="Times New Roman"/>
                <w:sz w:val="29"/>
                <w:szCs w:val="29"/>
                <w:lang w:val="en-US" w:eastAsia="zh-CN"/>
              </w:rPr>
            </w:pPr>
            <w:r>
              <w:rPr>
                <w:rFonts w:hint="default" w:ascii="Times New Roman" w:hAnsi="Times New Roman" w:eastAsia="方正仿宋_GBK" w:cs="Times New Roman"/>
                <w:sz w:val="29"/>
                <w:szCs w:val="29"/>
                <w:lang w:val="en-US" w:eastAsia="zh-CN"/>
              </w:rPr>
              <w:t>10</w:t>
            </w:r>
          </w:p>
        </w:tc>
        <w:tc>
          <w:tcPr>
            <w:tcW w:w="30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国防动员</w:t>
            </w:r>
          </w:p>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en-US"/>
              </w:rPr>
            </w:pPr>
            <w:r>
              <w:rPr>
                <w:rFonts w:hint="default" w:ascii="Times New Roman" w:hAnsi="Times New Roman" w:eastAsia="方正仿宋_GBK" w:cs="Times New Roman"/>
                <w:sz w:val="28"/>
                <w:szCs w:val="28"/>
                <w:lang w:eastAsia="zh-CN"/>
              </w:rPr>
              <w:t>办公室</w:t>
            </w:r>
          </w:p>
        </w:tc>
        <w:tc>
          <w:tcPr>
            <w:tcW w:w="3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z w:val="28"/>
                <w:szCs w:val="28"/>
                <w:lang w:val="en-US" w:eastAsia="en-US"/>
              </w:rPr>
            </w:pPr>
            <w:r>
              <w:rPr>
                <w:rFonts w:hint="default" w:ascii="Times New Roman" w:hAnsi="Times New Roman" w:eastAsia="方正仿宋_GBK" w:cs="Times New Roman"/>
                <w:sz w:val="28"/>
                <w:szCs w:val="28"/>
                <w:lang w:val="en-US" w:eastAsia="zh-CN"/>
              </w:rPr>
              <w:t>本级</w:t>
            </w:r>
          </w:p>
        </w:tc>
        <w:tc>
          <w:tcPr>
            <w:tcW w:w="349"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政府</w:t>
            </w:r>
          </w:p>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textAlignment w:val="baseline"/>
              <w:rPr>
                <w:rFonts w:hint="default" w:ascii="Times New Roman" w:hAnsi="Times New Roman" w:eastAsia="方正仿宋_GBK" w:cs="Times New Roman"/>
                <w:sz w:val="28"/>
                <w:szCs w:val="28"/>
                <w:lang w:val="en-US" w:eastAsia="en-US"/>
              </w:rPr>
            </w:pPr>
            <w:r>
              <w:rPr>
                <w:rFonts w:hint="default" w:ascii="Times New Roman" w:hAnsi="Times New Roman" w:eastAsia="方正仿宋_GBK" w:cs="Times New Roman"/>
                <w:sz w:val="28"/>
                <w:szCs w:val="28"/>
                <w:lang w:val="en-US" w:eastAsia="zh-CN"/>
              </w:rPr>
              <w:t>部门</w:t>
            </w:r>
          </w:p>
        </w:tc>
        <w:tc>
          <w:tcPr>
            <w:tcW w:w="34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公用人防工程使用费</w:t>
            </w:r>
          </w:p>
        </w:tc>
        <w:tc>
          <w:tcPr>
            <w:tcW w:w="3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市场调节价的经营服务性收费</w:t>
            </w:r>
          </w:p>
        </w:tc>
        <w:tc>
          <w:tcPr>
            <w:tcW w:w="633"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公用人防工程使用费</w:t>
            </w:r>
          </w:p>
        </w:tc>
        <w:tc>
          <w:tcPr>
            <w:tcW w:w="924"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根据第三方专业公司评估</w:t>
            </w:r>
          </w:p>
        </w:tc>
        <w:tc>
          <w:tcPr>
            <w:tcW w:w="6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textAlignment w:val="baseline"/>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《房地产估价规范》【GB/T</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t>50291</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eastAsia="zh-CN"/>
              </w:rPr>
              <w:t>2015】</w:t>
            </w:r>
            <w:r>
              <w:rPr>
                <w:rFonts w:hint="eastAsia" w:ascii="Times New Roman" w:hAnsi="Times New Roman" w:eastAsia="方正仿宋_GBK" w:cs="Times New Roman"/>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《房地产估价基本术语标准》【GB/T</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t>50899</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eastAsia="zh-CN"/>
              </w:rPr>
              <w:t>2013】</w:t>
            </w:r>
          </w:p>
        </w:tc>
        <w:tc>
          <w:tcPr>
            <w:tcW w:w="6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《人民防空工程平时开发利用管理办法》（国人防办字第〔2001〕211号）</w:t>
            </w:r>
          </w:p>
        </w:tc>
        <w:tc>
          <w:tcPr>
            <w:tcW w:w="349" w:type="pct"/>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9" w:hRule="atLeast"/>
        </w:trPr>
        <w:tc>
          <w:tcPr>
            <w:tcW w:w="15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default" w:ascii="Times New Roman" w:hAnsi="Times New Roman" w:eastAsia="方正仿宋_GBK" w:cs="Times New Roman"/>
                <w:sz w:val="29"/>
                <w:szCs w:val="29"/>
                <w:lang w:val="en-US" w:eastAsia="zh-CN"/>
              </w:rPr>
            </w:pPr>
            <w:r>
              <w:rPr>
                <w:rFonts w:hint="default" w:ascii="Times New Roman" w:hAnsi="Times New Roman" w:eastAsia="方正仿宋_GBK" w:cs="Times New Roman"/>
                <w:sz w:val="29"/>
                <w:szCs w:val="29"/>
                <w:lang w:val="en-US" w:eastAsia="zh-CN"/>
              </w:rPr>
              <w:t>11</w:t>
            </w:r>
          </w:p>
        </w:tc>
        <w:tc>
          <w:tcPr>
            <w:tcW w:w="30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国防动员</w:t>
            </w:r>
          </w:p>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办公室</w:t>
            </w:r>
          </w:p>
        </w:tc>
        <w:tc>
          <w:tcPr>
            <w:tcW w:w="3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本级</w:t>
            </w:r>
          </w:p>
        </w:tc>
        <w:tc>
          <w:tcPr>
            <w:tcW w:w="349"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政府</w:t>
            </w:r>
          </w:p>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部门</w:t>
            </w:r>
          </w:p>
        </w:tc>
        <w:tc>
          <w:tcPr>
            <w:tcW w:w="348"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人防易地建设费</w:t>
            </w:r>
          </w:p>
        </w:tc>
        <w:tc>
          <w:tcPr>
            <w:tcW w:w="3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行政事业性收费</w:t>
            </w:r>
          </w:p>
        </w:tc>
        <w:tc>
          <w:tcPr>
            <w:tcW w:w="633"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防空地下室易地建设费审核及征收</w:t>
            </w:r>
          </w:p>
        </w:tc>
        <w:tc>
          <w:tcPr>
            <w:tcW w:w="924"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一般民用建筑为2000元/㎡，自持用于科研建设项目为1200元/㎡，工业建设项目中的非生产性建筑为600元/㎡</w:t>
            </w:r>
          </w:p>
        </w:tc>
        <w:tc>
          <w:tcPr>
            <w:tcW w:w="6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政府制定</w:t>
            </w:r>
          </w:p>
        </w:tc>
        <w:tc>
          <w:tcPr>
            <w:tcW w:w="6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《关于进一步加强南京市防空地下室易地建设费管理的通知》（宁财综</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2024</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30</w:t>
            </w:r>
            <w:r>
              <w:rPr>
                <w:rFonts w:hint="default" w:ascii="Times New Roman" w:hAnsi="Times New Roman" w:eastAsia="方正仿宋_GBK" w:cs="Times New Roman"/>
                <w:sz w:val="28"/>
                <w:szCs w:val="28"/>
                <w:lang w:val="en-US" w:eastAsia="zh-CN"/>
              </w:rPr>
              <w:t>3号）</w:t>
            </w:r>
          </w:p>
        </w:tc>
        <w:tc>
          <w:tcPr>
            <w:tcW w:w="349"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由区税务局征收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5" w:hRule="atLeast"/>
        </w:trPr>
        <w:tc>
          <w:tcPr>
            <w:tcW w:w="15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default" w:ascii="Times New Roman" w:hAnsi="Times New Roman" w:eastAsia="方正仿宋_GBK" w:cs="Times New Roman"/>
                <w:sz w:val="29"/>
                <w:szCs w:val="29"/>
                <w:lang w:val="en-US" w:eastAsia="zh-CN"/>
              </w:rPr>
            </w:pPr>
            <w:r>
              <w:rPr>
                <w:rFonts w:hint="default" w:ascii="Times New Roman" w:hAnsi="Times New Roman" w:eastAsia="方正仿宋_GBK" w:cs="Times New Roman"/>
                <w:sz w:val="29"/>
                <w:szCs w:val="29"/>
                <w:lang w:val="en-US" w:eastAsia="zh-CN"/>
              </w:rPr>
              <w:t>12</w:t>
            </w:r>
          </w:p>
        </w:tc>
        <w:tc>
          <w:tcPr>
            <w:tcW w:w="308" w:type="pct"/>
            <w:tcBorders>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法院</w:t>
            </w:r>
          </w:p>
        </w:tc>
        <w:tc>
          <w:tcPr>
            <w:tcW w:w="312" w:type="pct"/>
            <w:tcBorders>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本级</w:t>
            </w:r>
          </w:p>
        </w:tc>
        <w:tc>
          <w:tcPr>
            <w:tcW w:w="349" w:type="pct"/>
            <w:tcBorders>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政府</w:t>
            </w:r>
          </w:p>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部门</w:t>
            </w:r>
          </w:p>
        </w:tc>
        <w:tc>
          <w:tcPr>
            <w:tcW w:w="348" w:type="pct"/>
            <w:tcBorders>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诉讼费</w:t>
            </w:r>
          </w:p>
        </w:tc>
        <w:tc>
          <w:tcPr>
            <w:tcW w:w="352" w:type="pct"/>
            <w:tcBorders>
              <w:lef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行政事业性收费</w:t>
            </w:r>
          </w:p>
        </w:tc>
        <w:tc>
          <w:tcPr>
            <w:tcW w:w="633"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诉讼费</w:t>
            </w:r>
          </w:p>
        </w:tc>
        <w:tc>
          <w:tcPr>
            <w:tcW w:w="924"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eastAsia="zh-CN"/>
              </w:rPr>
              <w:t>受理费财产案件根据诉讼请求的金额或者价额，不超过1万元按50元，1万以上按2.5%</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eastAsia="zh-CN"/>
              </w:rPr>
              <w:t>0.5%的比率交纳；非财产案件按50元</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eastAsia="zh-CN"/>
              </w:rPr>
              <w:t>500元，及赔偿金额0.5%</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eastAsia="zh-CN"/>
              </w:rPr>
              <w:t>1%比率交纳；其他非财产案件每件交纳50元</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eastAsia="zh-CN"/>
              </w:rPr>
              <w:t>100元，行政案件按照50元</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eastAsia="zh-CN"/>
              </w:rPr>
              <w:t>100元交纳</w:t>
            </w:r>
          </w:p>
        </w:tc>
        <w:tc>
          <w:tcPr>
            <w:tcW w:w="61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z w:val="28"/>
                <w:szCs w:val="28"/>
                <w:lang w:val="en-US" w:eastAsia="en-US"/>
              </w:rPr>
            </w:pPr>
            <w:r>
              <w:rPr>
                <w:rFonts w:hint="default" w:ascii="Times New Roman" w:hAnsi="Times New Roman" w:eastAsia="方正仿宋_GBK" w:cs="Times New Roman"/>
                <w:sz w:val="28"/>
                <w:szCs w:val="28"/>
                <w:lang w:val="en-US" w:eastAsia="zh-CN"/>
              </w:rPr>
              <w:t>中央制定标准</w:t>
            </w:r>
          </w:p>
        </w:tc>
        <w:tc>
          <w:tcPr>
            <w:tcW w:w="652"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z w:val="28"/>
                <w:szCs w:val="28"/>
                <w:lang w:val="en-US" w:eastAsia="en-US"/>
              </w:rPr>
            </w:pPr>
            <w:r>
              <w:rPr>
                <w:rFonts w:hint="default" w:ascii="Times New Roman" w:hAnsi="Times New Roman" w:eastAsia="方正仿宋_GBK" w:cs="Times New Roman"/>
                <w:sz w:val="28"/>
                <w:szCs w:val="28"/>
                <w:lang w:val="en-US" w:eastAsia="zh-CN"/>
              </w:rPr>
              <w:t>财行</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2003</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275号</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发改办价格</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2007</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196号</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苏价费</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009</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158号</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苏价费</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2010</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396号</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民事诉讼法</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行政诉讼法</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国务院令2007年第481号</w:t>
            </w:r>
          </w:p>
        </w:tc>
        <w:tc>
          <w:tcPr>
            <w:tcW w:w="349"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leftChars="0"/>
              <w:jc w:val="both"/>
              <w:rPr>
                <w:rFonts w:hint="default" w:ascii="Times New Roman" w:hAnsi="Times New Roman" w:eastAsia="方正仿宋_GBK" w:cs="Times New Roman"/>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37" w:hRule="atLeast"/>
        </w:trPr>
        <w:tc>
          <w:tcPr>
            <w:tcW w:w="15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rPr>
                <w:rFonts w:hint="default" w:ascii="Times New Roman" w:hAnsi="Times New Roman" w:eastAsia="方正仿宋_GBK" w:cs="Times New Roman"/>
                <w:sz w:val="29"/>
                <w:szCs w:val="29"/>
                <w:lang w:val="en-US" w:eastAsia="zh-CN"/>
              </w:rPr>
            </w:pPr>
            <w:r>
              <w:rPr>
                <w:rFonts w:hint="default" w:ascii="Times New Roman" w:hAnsi="Times New Roman" w:eastAsia="方正仿宋_GBK" w:cs="Times New Roman"/>
                <w:sz w:val="29"/>
                <w:szCs w:val="29"/>
                <w:lang w:val="en-US" w:eastAsia="zh-CN"/>
              </w:rPr>
              <w:t>13</w:t>
            </w:r>
          </w:p>
        </w:tc>
        <w:tc>
          <w:tcPr>
            <w:tcW w:w="308" w:type="pct"/>
            <w:tcBorders>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城市管理局</w:t>
            </w:r>
          </w:p>
        </w:tc>
        <w:tc>
          <w:tcPr>
            <w:tcW w:w="312" w:type="pct"/>
            <w:tcBorders>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南京市建邺区市政设施综合养护中心</w:t>
            </w:r>
          </w:p>
        </w:tc>
        <w:tc>
          <w:tcPr>
            <w:tcW w:w="349" w:type="pct"/>
            <w:tcBorders>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事业</w:t>
            </w:r>
          </w:p>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单位</w:t>
            </w:r>
          </w:p>
        </w:tc>
        <w:tc>
          <w:tcPr>
            <w:tcW w:w="348" w:type="pct"/>
            <w:tcBorders>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园林绿化损坏赔偿费</w:t>
            </w:r>
          </w:p>
        </w:tc>
        <w:tc>
          <w:tcPr>
            <w:tcW w:w="352" w:type="pct"/>
            <w:tcBorders>
              <w:lef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行政事业性收费</w:t>
            </w:r>
          </w:p>
        </w:tc>
        <w:tc>
          <w:tcPr>
            <w:tcW w:w="633" w:type="pc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砍伐、移植、修剪城市园林部门权属的树木、临时占用或者征用城市绿地等</w:t>
            </w:r>
          </w:p>
        </w:tc>
        <w:tc>
          <w:tcPr>
            <w:tcW w:w="924"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eastAsia="zh-CN"/>
              </w:rPr>
              <w:t>临时占用城市公共绿地的，应当经过许可，临时占用期限不超过一年的，按每天每平方米2元收取临时占用绿地补偿费用；临时占用期限超过1年的，按每天每平方米3元收取。砍伐、移植、修剪补偿费用详见政策文件。</w:t>
            </w:r>
          </w:p>
        </w:tc>
        <w:tc>
          <w:tcPr>
            <w:tcW w:w="612"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napToGrid w:val="0"/>
                <w:color w:val="000000"/>
                <w:sz w:val="28"/>
                <w:szCs w:val="28"/>
                <w:lang w:val="en-US" w:eastAsia="zh-CN" w:bidi="ar-SA"/>
              </w:rPr>
              <w:t>政府制定（南京市物价局、南京市财政局、南京市园林局）</w:t>
            </w:r>
          </w:p>
        </w:tc>
        <w:tc>
          <w:tcPr>
            <w:tcW w:w="652" w:type="pct"/>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napToGrid w:val="0"/>
                <w:color w:val="000000"/>
                <w:sz w:val="28"/>
                <w:szCs w:val="28"/>
                <w:lang w:val="en-US" w:eastAsia="zh-CN" w:bidi="ar-SA"/>
              </w:rPr>
              <w:t>宁价费</w:t>
            </w:r>
            <w:r>
              <w:rPr>
                <w:rFonts w:hint="eastAsia" w:ascii="Times New Roman" w:hAnsi="Times New Roman" w:eastAsia="方正仿宋_GBK" w:cs="Times New Roman"/>
                <w:snapToGrid w:val="0"/>
                <w:color w:val="000000"/>
                <w:sz w:val="28"/>
                <w:szCs w:val="28"/>
                <w:lang w:val="en-US" w:eastAsia="zh-CN" w:bidi="ar-SA"/>
              </w:rPr>
              <w:t>〔2008〕263号</w:t>
            </w:r>
            <w:r>
              <w:rPr>
                <w:rFonts w:hint="default" w:ascii="Times New Roman" w:hAnsi="Times New Roman" w:eastAsia="方正仿宋_GBK" w:cs="Times New Roman"/>
                <w:snapToGrid w:val="0"/>
                <w:color w:val="000000"/>
                <w:sz w:val="28"/>
                <w:szCs w:val="28"/>
                <w:lang w:val="en-US" w:eastAsia="zh-CN" w:bidi="ar-SA"/>
              </w:rPr>
              <w:t>、宁财综</w:t>
            </w:r>
            <w:r>
              <w:rPr>
                <w:rFonts w:hint="eastAsia" w:ascii="Times New Roman" w:hAnsi="Times New Roman" w:eastAsia="方正仿宋_GBK" w:cs="Times New Roman"/>
                <w:snapToGrid w:val="0"/>
                <w:color w:val="000000"/>
                <w:sz w:val="28"/>
                <w:szCs w:val="28"/>
                <w:lang w:val="en-US" w:eastAsia="zh-CN" w:bidi="ar-SA"/>
              </w:rPr>
              <w:t>〔2008〕626号</w:t>
            </w:r>
            <w:r>
              <w:rPr>
                <w:rFonts w:hint="default" w:ascii="Times New Roman" w:hAnsi="Times New Roman" w:eastAsia="方正仿宋_GBK" w:cs="Times New Roman"/>
                <w:snapToGrid w:val="0"/>
                <w:color w:val="000000"/>
                <w:sz w:val="28"/>
                <w:szCs w:val="28"/>
                <w:lang w:val="en-US" w:eastAsia="zh-CN" w:bidi="ar-SA"/>
              </w:rPr>
              <w:t>、宁园法字</w:t>
            </w:r>
            <w:r>
              <w:rPr>
                <w:rFonts w:hint="eastAsia" w:ascii="Times New Roman" w:hAnsi="Times New Roman" w:eastAsia="方正仿宋_GBK" w:cs="Times New Roman"/>
                <w:snapToGrid w:val="0"/>
                <w:color w:val="000000"/>
                <w:sz w:val="28"/>
                <w:szCs w:val="28"/>
                <w:lang w:val="en-US" w:eastAsia="zh-CN" w:bidi="ar-SA"/>
              </w:rPr>
              <w:t>〔2008〕175号</w:t>
            </w:r>
          </w:p>
        </w:tc>
        <w:tc>
          <w:tcPr>
            <w:tcW w:w="349" w:type="pct"/>
            <w:shd w:val="clear" w:color="auto" w:fill="auto"/>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30" w:lineRule="exact"/>
              <w:ind w:left="0"/>
              <w:jc w:val="both"/>
              <w:textAlignment w:val="baseline"/>
              <w:rPr>
                <w:rFonts w:hint="default" w:ascii="Times New Roman" w:hAnsi="Times New Roman" w:eastAsia="方正仿宋_GBK" w:cs="Times New Roman"/>
                <w:snapToGrid w:val="0"/>
                <w:color w:val="000000"/>
                <w:sz w:val="28"/>
                <w:szCs w:val="28"/>
                <w:lang w:val="en-US" w:eastAsia="zh-CN" w:bidi="ar-SA"/>
              </w:rPr>
            </w:pPr>
            <w:r>
              <w:rPr>
                <w:rFonts w:hint="default" w:ascii="Times New Roman" w:hAnsi="Times New Roman" w:eastAsia="方正仿宋_GBK" w:cs="Times New Roman"/>
                <w:sz w:val="28"/>
                <w:szCs w:val="28"/>
                <w:lang w:eastAsia="zh-CN"/>
              </w:rPr>
              <w:t>临时占用城市公共绿地，不超过一年的，由本单位执收；超过一年的，由市绿化园林局执收。</w:t>
            </w:r>
          </w:p>
        </w:tc>
      </w:tr>
    </w:tbl>
    <w:p>
      <w:pPr>
        <w:keepNext w:val="0"/>
        <w:keepLines w:val="0"/>
        <w:pageBreakBefore w:val="0"/>
        <w:widowControl/>
        <w:kinsoku w:val="0"/>
        <w:wordWrap/>
        <w:overflowPunct/>
        <w:topLinePunct w:val="0"/>
        <w:autoSpaceDE w:val="0"/>
        <w:autoSpaceDN w:val="0"/>
        <w:bidi w:val="0"/>
        <w:adjustRightInd w:val="0"/>
        <w:snapToGrid w:val="0"/>
        <w:spacing w:line="360" w:lineRule="exact"/>
        <w:ind w:left="0"/>
        <w:rPr>
          <w:rFonts w:hint="default" w:ascii="Times New Roman" w:hAnsi="Times New Roman" w:eastAsia="方正仿宋_GBK" w:cs="Times New Roman"/>
          <w:sz w:val="31"/>
          <w:szCs w:val="31"/>
          <w:highlight w:val="yellow"/>
          <w:lang w:eastAsia="zh-CN"/>
        </w:rPr>
      </w:pPr>
    </w:p>
    <w:sectPr>
      <w:headerReference r:id="rId3" w:type="default"/>
      <w:footerReference r:id="rId4" w:type="default"/>
      <w:pgSz w:w="23811" w:h="16838" w:orient="landscape"/>
      <w:pgMar w:top="1701" w:right="567" w:bottom="1701" w:left="567"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docVars>
    <w:docVar w:name="commondata" w:val="eyJoZGlkIjoiNjAzMWIwMDdjYTE1MTNmODczNzAzNjMxYWEzZmE3MGYifQ=="/>
  </w:docVars>
  <w:rsids>
    <w:rsidRoot w:val="00D14226"/>
    <w:rsid w:val="003E7785"/>
    <w:rsid w:val="00457073"/>
    <w:rsid w:val="00687412"/>
    <w:rsid w:val="00752E5A"/>
    <w:rsid w:val="008F3527"/>
    <w:rsid w:val="00C37F60"/>
    <w:rsid w:val="00C76D00"/>
    <w:rsid w:val="00D14226"/>
    <w:rsid w:val="00DD39AC"/>
    <w:rsid w:val="00E87408"/>
    <w:rsid w:val="00E91F7D"/>
    <w:rsid w:val="00F14983"/>
    <w:rsid w:val="020A28AF"/>
    <w:rsid w:val="02BE531A"/>
    <w:rsid w:val="05F15873"/>
    <w:rsid w:val="067A6D2C"/>
    <w:rsid w:val="07337C5E"/>
    <w:rsid w:val="089B5491"/>
    <w:rsid w:val="0A9D666F"/>
    <w:rsid w:val="0FBC7598"/>
    <w:rsid w:val="128D521B"/>
    <w:rsid w:val="13695A71"/>
    <w:rsid w:val="1370145D"/>
    <w:rsid w:val="147B5178"/>
    <w:rsid w:val="153B32F3"/>
    <w:rsid w:val="1549152D"/>
    <w:rsid w:val="1A5328A6"/>
    <w:rsid w:val="1CB064F5"/>
    <w:rsid w:val="1DD661F1"/>
    <w:rsid w:val="22B30E29"/>
    <w:rsid w:val="23E519F1"/>
    <w:rsid w:val="257F7F4F"/>
    <w:rsid w:val="26AA0338"/>
    <w:rsid w:val="27F33167"/>
    <w:rsid w:val="297D349C"/>
    <w:rsid w:val="29FE041A"/>
    <w:rsid w:val="2E01711E"/>
    <w:rsid w:val="31B45AD4"/>
    <w:rsid w:val="33F151B2"/>
    <w:rsid w:val="359E6598"/>
    <w:rsid w:val="35E343CC"/>
    <w:rsid w:val="39A32C20"/>
    <w:rsid w:val="3D65276D"/>
    <w:rsid w:val="41356C5D"/>
    <w:rsid w:val="43BC29BB"/>
    <w:rsid w:val="462D194E"/>
    <w:rsid w:val="4D2C1D14"/>
    <w:rsid w:val="520C17A9"/>
    <w:rsid w:val="525A1A1D"/>
    <w:rsid w:val="54D73AF9"/>
    <w:rsid w:val="57A10FC9"/>
    <w:rsid w:val="57C32112"/>
    <w:rsid w:val="589F66DB"/>
    <w:rsid w:val="58D1358D"/>
    <w:rsid w:val="59967ADE"/>
    <w:rsid w:val="5ACE5056"/>
    <w:rsid w:val="5B574017"/>
    <w:rsid w:val="5F69359F"/>
    <w:rsid w:val="60AB5B1A"/>
    <w:rsid w:val="623C68E4"/>
    <w:rsid w:val="6429584E"/>
    <w:rsid w:val="663A479C"/>
    <w:rsid w:val="67E57C7B"/>
    <w:rsid w:val="68A01FA2"/>
    <w:rsid w:val="6A162576"/>
    <w:rsid w:val="6BD44ACE"/>
    <w:rsid w:val="6F1B2B08"/>
    <w:rsid w:val="72370B42"/>
    <w:rsid w:val="7CCC3693"/>
    <w:rsid w:val="7D913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84"/>
      <w:szCs w:val="84"/>
    </w:rPr>
  </w:style>
  <w:style w:type="paragraph" w:styleId="3">
    <w:name w:val="footer"/>
    <w:basedOn w:val="1"/>
    <w:link w:val="11"/>
    <w:qFormat/>
    <w:uiPriority w:val="0"/>
    <w:pPr>
      <w:tabs>
        <w:tab w:val="center" w:pos="4153"/>
        <w:tab w:val="right" w:pos="8306"/>
      </w:tabs>
    </w:pPr>
    <w:rPr>
      <w:sz w:val="18"/>
      <w:szCs w:val="18"/>
    </w:rPr>
  </w:style>
  <w:style w:type="paragraph" w:styleId="4">
    <w:name w:val="header"/>
    <w:basedOn w:val="1"/>
    <w:link w:val="10"/>
    <w:qFormat/>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style>
  <w:style w:type="character" w:customStyle="1" w:styleId="10">
    <w:name w:val="页眉 字符"/>
    <w:basedOn w:val="7"/>
    <w:link w:val="4"/>
    <w:qFormat/>
    <w:uiPriority w:val="0"/>
    <w:rPr>
      <w:rFonts w:eastAsia="Arial"/>
      <w:snapToGrid w:val="0"/>
      <w:color w:val="000000"/>
      <w:sz w:val="18"/>
      <w:szCs w:val="18"/>
      <w:lang w:eastAsia="en-US"/>
    </w:rPr>
  </w:style>
  <w:style w:type="character" w:customStyle="1" w:styleId="11">
    <w:name w:val="页脚 字符"/>
    <w:basedOn w:val="7"/>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c3295a88-e297-4db7-9084-2b7216bd88b1</errorID>
      <errorWord>其它</errorWord>
      <group>L1_Word</group>
      <groupName>字词问题</groupName>
      <ability>L2_Alias</ability>
      <abilityName>也作/曾用词</abilityName>
      <candidateList>
        <item>其他</item>
      </candidateList>
      <explain>词汇[其它]为不规范表述或旧称，其规范书面表述为[其他]。</explain>
      <paraID>12FB72A7</paraID>
      <start>46</start>
      <end>48</end>
      <status>modified</status>
      <modifiedWord>其他</modifiedWord>
      <trackRevisions>false</trackRevisions>
    </reviewItem>
    <reviewItem>
      <errorID>ed47e98e-975c-4992-a198-daab1b91388a</errorID>
      <errorWord>水土保持法</errorWord>
      <group>L1_Knowledge</group>
      <groupName>知识性问题</groupName>
      <ability>L2_Knowledge</ability>
      <abilityName>其他知识</abilityName>
      <candidateList>
        <item>中华人民共和国水土保持法</item>
      </candidateList>
      <explain>当前法律法规名称使用简称，请注意是否应当使用全称。</explain>
      <paraID>45C76343</paraID>
      <start>1</start>
      <end>6</end>
      <status>unmodified</status>
      <modifiedWord/>
      <trackRevisions>false</trackRevisions>
    </reviewItem>
    <reviewItem>
      <errorID>332f7e8f-6ff5-448c-8f2b-a81553d53d0a</errorID>
      <errorWord>,</errorWord>
      <group>L1_Format</group>
      <groupName>格式问题</groupName>
      <ability>L2_HalfPunc</ability>
      <abilityName>全半角检查</abilityName>
      <candidateList>
        <item>，</item>
      </candidateList>
      <explain>文本全半角错误。</explain>
      <paraID>5CF81F66</paraID>
      <start>12</start>
      <end>13</end>
      <status>modified</status>
      <modifiedWord>，</modifiedWord>
      <trackRevisions>false</trackRevisions>
    </reviewItem>
    <reviewItem>
      <errorID>cc91f266-8e28-4ae9-a57d-b88627ca3fec</errorID>
      <errorWord>,</errorWord>
      <group>L1_Format</group>
      <groupName>格式问题</groupName>
      <ability>L2_HalfPunc</ability>
      <abilityName>全半角检查</abilityName>
      <candidateList>
        <item>，</item>
      </candidateList>
      <explain>文本全半角错误。</explain>
      <paraID>5CF81F66</paraID>
      <start>28</start>
      <end>29</end>
      <status>modified</status>
      <modifiedWord>，</modifiedWord>
      <trackRevisions>false</trackRevisions>
    </reviewItem>
    <reviewItem>
      <errorID>057cd2f1-d5a0-4640-a327-b71d2fd8c99d</errorID>
      <errorWord>,</errorWord>
      <group>L1_Format</group>
      <groupName>格式问题</groupName>
      <ability>L2_HalfPunc</ability>
      <abilityName>全半角检查</abilityName>
      <candidateList>
        <item>，</item>
      </candidateList>
      <explain>文本全半角错误。</explain>
      <paraID>5CF81F66</paraID>
      <start>41</start>
      <end>42</end>
      <status>modified</status>
      <modifiedWord>，</modifiedWord>
      <trackRevisions>false</trackRevisions>
    </reviewItem>
    <reviewItem>
      <errorID>b9e1221d-8476-4e77-aa1c-4e32109943ef</errorID>
      <errorWord>,</errorWord>
      <group>L1_Format</group>
      <groupName>格式问题</groupName>
      <ability>L2_HalfPunc</ability>
      <abilityName>全半角检查</abilityName>
      <candidateList>
        <item>，</item>
      </candidateList>
      <explain>文本全半角错误。</explain>
      <paraID>5CF81F66</paraID>
      <start>55</start>
      <end>56</end>
      <status>modified</status>
      <modifiedWord>，</modifiedWord>
      <trackRevisions>false</trackRevisions>
    </reviewItem>
    <reviewItem>
      <errorID>e65b5206-3710-4b7a-aac6-3bd1ab4999ae</errorID>
      <errorWord>,</errorWord>
      <group>L1_Format</group>
      <groupName>格式问题</groupName>
      <ability>L2_HalfPunc</ability>
      <abilityName>全半角检查</abilityName>
      <candidateList>
        <item>，</item>
      </candidateList>
      <explain>文本全半角错误。</explain>
      <paraID>5CF81F66</paraID>
      <start>61</start>
      <end>62</end>
      <status>modified</status>
      <modifiedWord>，</modifiedWord>
      <trackRevisions>false</trackRevisions>
    </reviewItem>
    <reviewItem>
      <errorID>c2bdc00d-8702-4bec-975d-9118a01d6a9c</errorID>
      <errorWord>,</errorWord>
      <group>L1_Format</group>
      <groupName>格式问题</groupName>
      <ability>L2_HalfPunc</ability>
      <abilityName>全半角检查</abilityName>
      <candidateList>
        <item>，</item>
      </candidateList>
      <explain>文本全半角错误。</explain>
      <paraID>5CF81F66</paraID>
      <start>67</start>
      <end>68</end>
      <status>modified</status>
      <modifiedWord>，</modifiedWord>
      <trackRevisions>false</trackRevisions>
    </reviewItem>
    <reviewItem>
      <errorID>ce32e257-ec8e-4689-9aa4-00a5c9f2d358</errorID>
      <errorWord>【2008】263号</errorWord>
      <group>L1_Knowledge</group>
      <groupName>知识性问题</groupName>
      <ability>L2_Knowledge</ability>
      <abilityName>其他知识</abilityName>
      <candidateList>
        <item>〔2008〕263号</item>
      </candidateList>
      <explain>发文字号格式错误。</explain>
      <paraID>5DA56EBC</paraID>
      <start>3</start>
      <end>13</end>
      <status>modified</status>
      <modifiedWord>〔2008〕263号</modifiedWord>
      <trackRevisions>false</trackRevisions>
    </reviewItem>
    <reviewItem>
      <errorID>af34008f-636e-4e8a-983f-bd84adfe975a</errorID>
      <errorWord>【2008】626号</errorWord>
      <group>L1_Knowledge</group>
      <groupName>知识性问题</groupName>
      <ability>L2_Knowledge</ability>
      <abilityName>其他知识</abilityName>
      <candidateList>
        <item>〔2008〕626号</item>
      </candidateList>
      <explain>发文字号格式错误。</explain>
      <paraID>5DA56EBC</paraID>
      <start>17</start>
      <end>27</end>
      <status>modified</status>
      <modifiedWord>〔2008〕626号</modifiedWord>
      <trackRevisions>false</trackRevisions>
    </reviewItem>
    <reviewItem>
      <errorID>2ae9b571-4b36-48e6-b57d-f2b60c3603d5</errorID>
      <errorWord>【2008】175号</errorWord>
      <group>L1_Knowledge</group>
      <groupName>知识性问题</groupName>
      <ability>L2_Knowledge</ability>
      <abilityName>其他知识</abilityName>
      <candidateList>
        <item>〔2008〕175号</item>
      </candidateList>
      <explain>发文字号格式错误。</explain>
      <paraID>5DA56EBC</paraID>
      <start>32</start>
      <end>42</end>
      <status>modified</status>
      <modifiedWord>〔2008〕175号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d8dc3-e832-4839-a5ec-6c91de4b8062}">
  <ds:schemaRefs/>
</ds:datastoreItem>
</file>

<file path=docProps/app.xml><?xml version="1.0" encoding="utf-8"?>
<Properties xmlns="http://schemas.openxmlformats.org/officeDocument/2006/extended-properties" xmlns:vt="http://schemas.openxmlformats.org/officeDocument/2006/docPropsVTypes">
  <Template>Normal</Template>
  <Pages>3</Pages>
  <Words>2321</Words>
  <Characters>2599</Characters>
  <Lines>18</Lines>
  <Paragraphs>5</Paragraphs>
  <TotalTime>24</TotalTime>
  <ScaleCrop>false</ScaleCrop>
  <LinksUpToDate>false</LinksUpToDate>
  <CharactersWithSpaces>2609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2025-08-13T10:21:00Z</dcterms:created>
  <dc:creator>Administrator</dc:creator>
  <cp:lastModifiedBy>Administrator</cp:lastModifiedBy>
  <cp:lastPrinted>2025-08-18T06:57:00Z</cp:lastPrinted>
  <dcterms:modified xsi:type="dcterms:W3CDTF">2025-11-28T01:53:22Z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2025-08-13T10:21:15Z</vt:filetime>
  </property>
  <property fmtid="{D5CDD505-2E9C-101B-9397-08002B2CF9AE}" pid="4" name="UsrData">
    <vt:lpwstr>689bf69839e360001f61f6e5wl</vt:lpwstr>
  </property>
  <property fmtid="{D5CDD505-2E9C-101B-9397-08002B2CF9AE}" pid="5" name="KSOTemplateDocerSaveRecord">
    <vt:lpwstr>eyJoZGlkIjoiZDIwODExZWMwMmZhMzkwYmM1ODAxMDI2NDU5YmVmM2UiLCJ1c2VySWQiOiIxOTg5MTY0NzAifQ==</vt:lpwstr>
  </property>
  <property fmtid="{D5CDD505-2E9C-101B-9397-08002B2CF9AE}" pid="6" name="KSOProductBuildVer">
    <vt:lpwstr>2052-12.1.0.15990</vt:lpwstr>
  </property>
  <property fmtid="{D5CDD505-2E9C-101B-9397-08002B2CF9AE}" pid="7" name="ICV">
    <vt:lpwstr>5C64BCE52F534428B1C599BCEBB91A0B_13</vt:lpwstr>
  </property>
</Properties>
</file>