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BEE44">
      <w:pPr>
        <w:pStyle w:val="6"/>
        <w:ind w:firstLine="0"/>
        <w:jc w:val="center"/>
        <w:rPr>
          <w:rFonts w:hint="eastAsia" w:ascii="仿宋" w:hAnsi="仿宋" w:eastAsia="仿宋" w:cs="仿宋"/>
          <w:b/>
          <w:bCs/>
          <w:sz w:val="32"/>
          <w:highlight w:val="none"/>
          <w:lang w:val="en-US" w:eastAsia="zh-CN"/>
        </w:rPr>
      </w:pPr>
      <w:r>
        <w:rPr>
          <w:rFonts w:hint="eastAsia" w:ascii="仿宋" w:hAnsi="仿宋" w:eastAsia="仿宋" w:cs="仿宋"/>
          <w:b/>
          <w:bCs/>
          <w:sz w:val="32"/>
          <w:highlight w:val="none"/>
          <w:lang w:eastAsia="zh-CN"/>
        </w:rPr>
        <w:t>江心洲小区垃圾分类设施维修改造竞争性磋商公告</w:t>
      </w:r>
    </w:p>
    <w:p w14:paraId="441634EC">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项目概况</w:t>
      </w:r>
    </w:p>
    <w:p w14:paraId="5F5727C3">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lang w:eastAsia="zh-CN"/>
        </w:rPr>
        <w:t>江心洲小区垃圾分类设施维修改造</w:t>
      </w:r>
      <w:r>
        <w:rPr>
          <w:rFonts w:hint="eastAsia" w:ascii="仿宋" w:hAnsi="仿宋" w:eastAsia="仿宋" w:cs="仿宋"/>
          <w:sz w:val="24"/>
          <w:szCs w:val="24"/>
          <w:highlight w:val="none"/>
        </w:rPr>
        <w:t>的潜在</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应在南京市</w:t>
      </w:r>
      <w:r>
        <w:rPr>
          <w:rFonts w:hint="eastAsia" w:ascii="仿宋" w:hAnsi="仿宋" w:eastAsia="仿宋" w:cs="仿宋"/>
          <w:sz w:val="24"/>
          <w:szCs w:val="24"/>
          <w:highlight w:val="none"/>
          <w:lang w:eastAsia="zh-CN"/>
        </w:rPr>
        <w:t>建邺区奥体大街</w:t>
      </w:r>
      <w:r>
        <w:rPr>
          <w:rFonts w:hint="eastAsia" w:ascii="仿宋" w:hAnsi="仿宋" w:eastAsia="仿宋" w:cs="仿宋"/>
          <w:sz w:val="24"/>
          <w:szCs w:val="24"/>
          <w:highlight w:val="none"/>
          <w:lang w:val="en-US" w:eastAsia="zh-CN"/>
        </w:rPr>
        <w:t>68号新城科技园国际研发总部园3栋6</w:t>
      </w:r>
      <w:r>
        <w:rPr>
          <w:rFonts w:hint="eastAsia" w:ascii="仿宋" w:hAnsi="仿宋" w:eastAsia="仿宋" w:cs="仿宋"/>
          <w:sz w:val="24"/>
          <w:szCs w:val="24"/>
          <w:highlight w:val="none"/>
        </w:rPr>
        <w:t>层（或采用邮寄方式）获取</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，并于</w:t>
      </w:r>
      <w:r>
        <w:rPr>
          <w:rFonts w:hint="eastAsia" w:ascii="仿宋" w:hAnsi="仿宋" w:eastAsia="仿宋" w:cs="仿宋"/>
          <w:sz w:val="24"/>
          <w:szCs w:val="24"/>
          <w:highlight w:val="none"/>
        </w:rPr>
        <w:t>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分</w:t>
      </w:r>
      <w:r>
        <w:rPr>
          <w:rFonts w:hint="eastAsia" w:ascii="仿宋" w:hAnsi="仿宋" w:eastAsia="仿宋" w:cs="仿宋"/>
          <w:sz w:val="24"/>
          <w:szCs w:val="24"/>
          <w:highlight w:val="none"/>
        </w:rPr>
        <w:t>（北京时间）</w:t>
      </w:r>
      <w:r>
        <w:rPr>
          <w:rFonts w:hint="eastAsia" w:ascii="仿宋" w:hAnsi="仿宋" w:eastAsia="仿宋" w:cs="仿宋"/>
          <w:bCs/>
          <w:sz w:val="24"/>
          <w:szCs w:val="24"/>
          <w:highlight w:val="none"/>
        </w:rPr>
        <w:t>前递交</w:t>
      </w:r>
      <w:r>
        <w:rPr>
          <w:rFonts w:hint="eastAsia" w:ascii="仿宋" w:hAnsi="仿宋" w:eastAsia="仿宋" w:cs="仿宋"/>
          <w:bCs/>
          <w:sz w:val="24"/>
          <w:szCs w:val="24"/>
          <w:highlight w:val="none"/>
          <w:lang w:eastAsia="zh-CN"/>
        </w:rPr>
        <w:t>响应文件</w:t>
      </w:r>
      <w:r>
        <w:rPr>
          <w:rFonts w:hint="eastAsia" w:ascii="仿宋" w:hAnsi="仿宋" w:eastAsia="仿宋" w:cs="仿宋"/>
          <w:sz w:val="24"/>
          <w:szCs w:val="24"/>
          <w:highlight w:val="none"/>
        </w:rPr>
        <w:t>。</w:t>
      </w:r>
    </w:p>
    <w:p w14:paraId="2C1A3E2D">
      <w:pPr>
        <w:pStyle w:val="2"/>
        <w:keepNext/>
        <w:keepLines/>
        <w:pageBreakBefore w:val="0"/>
        <w:widowControl w:val="0"/>
        <w:kinsoku/>
        <w:wordWrap/>
        <w:overflowPunct/>
        <w:topLinePunct w:val="0"/>
        <w:autoSpaceDE/>
        <w:autoSpaceDN/>
        <w:bidi w:val="0"/>
        <w:adjustRightInd/>
        <w:snapToGrid/>
        <w:spacing w:before="0" w:after="0" w:line="360" w:lineRule="auto"/>
        <w:ind w:firstLine="436" w:firstLineChars="155"/>
        <w:textAlignment w:val="auto"/>
        <w:outlineLvl w:val="1"/>
        <w:rPr>
          <w:rFonts w:hint="eastAsia" w:ascii="仿宋" w:hAnsi="仿宋" w:eastAsia="仿宋" w:cs="仿宋"/>
          <w:sz w:val="28"/>
          <w:szCs w:val="28"/>
          <w:highlight w:val="none"/>
        </w:rPr>
      </w:pPr>
      <w:bookmarkStart w:id="0" w:name="_Toc23662"/>
      <w:bookmarkStart w:id="1" w:name="_Toc31798"/>
      <w:bookmarkStart w:id="2" w:name="_Toc35393621"/>
      <w:bookmarkStart w:id="3" w:name="_Toc9101"/>
      <w:bookmarkStart w:id="4" w:name="_Toc35393790"/>
      <w:bookmarkStart w:id="5" w:name="_Toc38985263"/>
      <w:bookmarkStart w:id="6" w:name="_Toc28359079"/>
      <w:bookmarkStart w:id="7" w:name="_Toc22402"/>
      <w:bookmarkStart w:id="8" w:name="_Toc28359002"/>
      <w:bookmarkStart w:id="9" w:name="_Hlk24379207"/>
      <w:r>
        <w:rPr>
          <w:rFonts w:hint="eastAsia" w:ascii="仿宋" w:hAnsi="仿宋" w:eastAsia="仿宋" w:cs="仿宋"/>
          <w:sz w:val="28"/>
          <w:szCs w:val="28"/>
          <w:highlight w:val="none"/>
        </w:rPr>
        <w:t>一、项目基本情况</w:t>
      </w:r>
      <w:bookmarkEnd w:id="0"/>
      <w:bookmarkEnd w:id="1"/>
      <w:bookmarkEnd w:id="2"/>
      <w:bookmarkEnd w:id="3"/>
      <w:bookmarkEnd w:id="4"/>
      <w:bookmarkEnd w:id="5"/>
      <w:bookmarkEnd w:id="6"/>
      <w:bookmarkEnd w:id="7"/>
      <w:bookmarkEnd w:id="8"/>
    </w:p>
    <w:p w14:paraId="64F17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1.项目编号：</w:t>
      </w:r>
      <w:r>
        <w:rPr>
          <w:rFonts w:hint="eastAsia" w:ascii="仿宋" w:hAnsi="仿宋" w:eastAsia="仿宋" w:cs="仿宋"/>
          <w:sz w:val="24"/>
          <w:szCs w:val="24"/>
          <w:highlight w:val="none"/>
          <w:lang w:eastAsia="zh-CN"/>
        </w:rPr>
        <w:t>QC-202</w:t>
      </w:r>
      <w:r>
        <w:rPr>
          <w:rFonts w:hint="eastAsia" w:ascii="仿宋" w:hAnsi="仿宋" w:eastAsia="仿宋" w:cs="仿宋"/>
          <w:sz w:val="24"/>
          <w:szCs w:val="24"/>
          <w:highlight w:val="none"/>
          <w:lang w:val="en-US" w:eastAsia="zh-CN"/>
        </w:rPr>
        <w:t>5123055</w:t>
      </w:r>
      <w:r>
        <w:rPr>
          <w:rFonts w:hint="eastAsia" w:ascii="仿宋" w:hAnsi="仿宋" w:eastAsia="仿宋" w:cs="仿宋"/>
          <w:sz w:val="24"/>
          <w:szCs w:val="24"/>
          <w:highlight w:val="none"/>
          <w:lang w:eastAsia="zh-CN"/>
        </w:rPr>
        <w:t>J</w:t>
      </w:r>
    </w:p>
    <w:p w14:paraId="0DF401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2.项目名称：</w:t>
      </w:r>
      <w:bookmarkEnd w:id="9"/>
      <w:r>
        <w:rPr>
          <w:rFonts w:hint="eastAsia" w:ascii="仿宋" w:hAnsi="仿宋" w:eastAsia="仿宋" w:cs="仿宋"/>
          <w:sz w:val="24"/>
          <w:szCs w:val="24"/>
          <w:highlight w:val="none"/>
          <w:lang w:eastAsia="zh-CN"/>
        </w:rPr>
        <w:t>江心洲小区垃圾分类设施维修改造</w:t>
      </w:r>
    </w:p>
    <w:p w14:paraId="349C42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3.采购方式：竞争性磋商</w:t>
      </w:r>
    </w:p>
    <w:p w14:paraId="683489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.预算金额：</w:t>
      </w:r>
      <w:r>
        <w:rPr>
          <w:rFonts w:hint="eastAsia" w:ascii="仿宋" w:hAnsi="仿宋" w:eastAsia="仿宋" w:cs="仿宋"/>
          <w:sz w:val="24"/>
          <w:szCs w:val="24"/>
          <w:highlight w:val="none"/>
          <w:lang w:val="en-US" w:eastAsia="zh-CN"/>
        </w:rPr>
        <w:t>人民币34.907384万元</w:t>
      </w:r>
    </w:p>
    <w:p w14:paraId="528DC7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.最高限价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人民币34.907384万元</w:t>
      </w:r>
    </w:p>
    <w:p w14:paraId="23B92C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.采购需求：</w:t>
      </w:r>
      <w:r>
        <w:rPr>
          <w:rFonts w:hint="eastAsia" w:ascii="仿宋" w:hAnsi="仿宋" w:eastAsia="仿宋" w:cs="仿宋"/>
          <w:sz w:val="24"/>
          <w:szCs w:val="24"/>
          <w:highlight w:val="none"/>
          <w:lang w:val="en-US" w:eastAsia="zh-CN"/>
        </w:rPr>
        <w:t>具体详见工程量清单。</w:t>
      </w:r>
    </w:p>
    <w:p w14:paraId="4F5FD6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工</w:t>
      </w:r>
      <w:r>
        <w:rPr>
          <w:rFonts w:hint="eastAsia" w:ascii="仿宋" w:hAnsi="仿宋" w:eastAsia="仿宋" w:cs="仿宋"/>
          <w:sz w:val="24"/>
          <w:szCs w:val="24"/>
          <w:highlight w:val="none"/>
          <w:lang w:eastAsia="zh-CN"/>
        </w:rPr>
        <w:t>期</w:t>
      </w:r>
      <w:r>
        <w:rPr>
          <w:rFonts w:hint="eastAsia" w:ascii="仿宋" w:hAnsi="仿宋" w:eastAsia="仿宋" w:cs="仿宋"/>
          <w:sz w:val="24"/>
          <w:szCs w:val="24"/>
          <w:highlight w:val="none"/>
        </w:rPr>
        <w:t>：</w:t>
      </w:r>
      <w:bookmarkStart w:id="10" w:name="_Toc28359003"/>
      <w:bookmarkStart w:id="11" w:name="_Toc35393622"/>
      <w:bookmarkStart w:id="12" w:name="_Toc28359080"/>
      <w:bookmarkStart w:id="13" w:name="_Toc38985264"/>
      <w:bookmarkStart w:id="14" w:name="_Toc35393791"/>
      <w:bookmarkStart w:id="15" w:name="_Toc11258"/>
      <w:r>
        <w:rPr>
          <w:rFonts w:hint="eastAsia" w:ascii="仿宋" w:hAnsi="仿宋" w:eastAsia="仿宋" w:cs="仿宋"/>
          <w:sz w:val="24"/>
          <w:szCs w:val="24"/>
          <w:highlight w:val="none"/>
          <w:lang w:val="en-US" w:eastAsia="zh-CN"/>
        </w:rPr>
        <w:t>60日历天</w:t>
      </w:r>
    </w:p>
    <w:p w14:paraId="6C6798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本项目是否属</w:t>
      </w:r>
      <w:r>
        <w:rPr>
          <w:rFonts w:hint="eastAsia" w:ascii="仿宋" w:hAnsi="仿宋" w:eastAsia="仿宋" w:cs="仿宋"/>
          <w:sz w:val="24"/>
          <w:szCs w:val="24"/>
          <w:highlight w:val="none"/>
          <w:lang w:eastAsia="zh-CN"/>
        </w:rPr>
        <w:t>于</w:t>
      </w:r>
      <w:r>
        <w:rPr>
          <w:rFonts w:hint="eastAsia" w:ascii="仿宋" w:hAnsi="仿宋" w:eastAsia="仿宋" w:cs="仿宋"/>
          <w:sz w:val="24"/>
          <w:szCs w:val="24"/>
          <w:highlight w:val="none"/>
        </w:rPr>
        <w:t>专门面向中小企业采购项</w:t>
      </w:r>
      <w:r>
        <w:rPr>
          <w:rFonts w:hint="eastAsia" w:ascii="仿宋" w:hAnsi="仿宋" w:eastAsia="仿宋" w:cs="仿宋"/>
          <w:sz w:val="24"/>
          <w:szCs w:val="24"/>
          <w:highlight w:val="none"/>
        </w:rPr>
        <w:t>目：</w:t>
      </w:r>
      <w:r>
        <w:rPr>
          <w:rFonts w:hint="eastAsia" w:ascii="仿宋" w:hAnsi="仿宋" w:eastAsia="仿宋" w:cs="仿宋"/>
          <w:sz w:val="24"/>
          <w:szCs w:val="24"/>
          <w:highlight w:val="none"/>
          <w:lang w:eastAsia="zh-CN"/>
        </w:rPr>
        <w:t>否</w:t>
      </w:r>
      <w:r>
        <w:rPr>
          <w:rFonts w:hint="eastAsia" w:ascii="仿宋" w:hAnsi="仿宋" w:eastAsia="仿宋" w:cs="仿宋"/>
          <w:sz w:val="24"/>
          <w:szCs w:val="24"/>
          <w:highlight w:val="none"/>
        </w:rPr>
        <w:t>。</w:t>
      </w:r>
      <w:r>
        <w:rPr>
          <w:rFonts w:hint="eastAsia" w:ascii="仿宋" w:hAnsi="仿宋" w:eastAsia="仿宋" w:cs="仿宋"/>
          <w:b/>
          <w:bCs/>
          <w:sz w:val="24"/>
          <w:szCs w:val="24"/>
          <w:highlight w:val="none"/>
        </w:rPr>
        <w:t>本项目采购标的对应的中小企业划分标准所属行业为：建筑业。</w:t>
      </w:r>
    </w:p>
    <w:p w14:paraId="39154689">
      <w:pPr>
        <w:pStyle w:val="2"/>
        <w:keepNext/>
        <w:keepLines/>
        <w:pageBreakBefore w:val="0"/>
        <w:widowControl w:val="0"/>
        <w:kinsoku/>
        <w:wordWrap/>
        <w:overflowPunct/>
        <w:topLinePunct w:val="0"/>
        <w:autoSpaceDE/>
        <w:autoSpaceDN/>
        <w:bidi w:val="0"/>
        <w:adjustRightInd/>
        <w:snapToGrid/>
        <w:spacing w:before="0" w:after="0" w:line="360" w:lineRule="auto"/>
        <w:ind w:firstLine="436" w:firstLineChars="155"/>
        <w:textAlignment w:val="auto"/>
        <w:outlineLvl w:val="1"/>
        <w:rPr>
          <w:rFonts w:hint="eastAsia" w:ascii="仿宋" w:hAnsi="仿宋" w:eastAsia="仿宋" w:cs="仿宋"/>
          <w:b/>
          <w:bCs/>
          <w:sz w:val="28"/>
          <w:szCs w:val="28"/>
          <w:highlight w:val="none"/>
        </w:rPr>
      </w:pPr>
      <w:bookmarkStart w:id="16" w:name="_Toc5589"/>
      <w:bookmarkStart w:id="17" w:name="_Toc26145"/>
      <w:bookmarkStart w:id="18" w:name="_Toc14057"/>
      <w:r>
        <w:rPr>
          <w:rFonts w:hint="eastAsia" w:ascii="仿宋" w:hAnsi="仿宋" w:eastAsia="仿宋" w:cs="仿宋"/>
          <w:b/>
          <w:bCs/>
          <w:sz w:val="28"/>
          <w:szCs w:val="28"/>
          <w:highlight w:val="none"/>
        </w:rPr>
        <w:t>二、</w:t>
      </w:r>
      <w:r>
        <w:rPr>
          <w:rFonts w:hint="eastAsia" w:ascii="仿宋" w:hAnsi="仿宋" w:eastAsia="仿宋" w:cs="仿宋"/>
          <w:b/>
          <w:bCs/>
          <w:sz w:val="28"/>
          <w:szCs w:val="28"/>
          <w:highlight w:val="none"/>
          <w:lang w:eastAsia="zh-CN"/>
        </w:rPr>
        <w:t>供应商</w:t>
      </w:r>
      <w:r>
        <w:rPr>
          <w:rFonts w:hint="eastAsia" w:ascii="仿宋" w:hAnsi="仿宋" w:eastAsia="仿宋" w:cs="仿宋"/>
          <w:b/>
          <w:bCs/>
          <w:sz w:val="28"/>
          <w:szCs w:val="28"/>
          <w:highlight w:val="none"/>
        </w:rPr>
        <w:t>的资格要求：</w:t>
      </w:r>
      <w:bookmarkEnd w:id="10"/>
      <w:bookmarkEnd w:id="11"/>
      <w:bookmarkEnd w:id="12"/>
      <w:bookmarkEnd w:id="13"/>
      <w:bookmarkEnd w:id="14"/>
      <w:bookmarkEnd w:id="15"/>
      <w:bookmarkEnd w:id="16"/>
      <w:bookmarkEnd w:id="17"/>
      <w:bookmarkEnd w:id="18"/>
    </w:p>
    <w:p w14:paraId="4A372A6E">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19" w:name="_Toc28359004"/>
      <w:bookmarkStart w:id="20" w:name="_Toc28359081"/>
      <w:bookmarkStart w:id="21" w:name="_Toc35393792"/>
      <w:bookmarkStart w:id="22" w:name="_Toc38985265"/>
      <w:bookmarkStart w:id="23" w:name="_Toc35393623"/>
      <w:r>
        <w:rPr>
          <w:rFonts w:hint="eastAsia" w:ascii="仿宋" w:hAnsi="仿宋" w:eastAsia="仿宋" w:cs="仿宋"/>
          <w:sz w:val="24"/>
          <w:szCs w:val="24"/>
          <w:highlight w:val="none"/>
        </w:rPr>
        <w:t>1.满足《中华人民共和国政府采购法》第二十二条规定，并提供下列材料：</w:t>
      </w:r>
    </w:p>
    <w:p w14:paraId="43D69699">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 具有独立承担民事责任的能力（提供法人或者其他组织的营业执照等证明材料，自然人的身份证明）；</w:t>
      </w:r>
    </w:p>
    <w:p w14:paraId="2480C9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w:t>
      </w:r>
      <w:r>
        <w:rPr>
          <w:rFonts w:hint="eastAsia" w:ascii="仿宋" w:hAnsi="仿宋" w:eastAsia="仿宋" w:cs="仿宋"/>
          <w:sz w:val="24"/>
          <w:szCs w:val="24"/>
          <w:highlight w:val="none"/>
          <w:lang w:val="en-US" w:eastAsia="zh-CN"/>
        </w:rPr>
        <w:t xml:space="preserve"> 具有良好的商业信誉和健全的财务会计制度（</w:t>
      </w:r>
      <w:r>
        <w:rPr>
          <w:rFonts w:hint="eastAsia" w:ascii="仿宋" w:hAnsi="仿宋" w:eastAsia="仿宋" w:cs="仿宋"/>
          <w:sz w:val="24"/>
          <w:szCs w:val="24"/>
          <w:highlight w:val="none"/>
        </w:rPr>
        <w:t>提供提交</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截止时间前</w:t>
      </w:r>
      <w:r>
        <w:rPr>
          <w:rFonts w:hint="eastAsia" w:ascii="仿宋" w:hAnsi="仿宋" w:eastAsia="仿宋" w:cs="仿宋"/>
          <w:sz w:val="24"/>
          <w:szCs w:val="24"/>
          <w:highlight w:val="none"/>
          <w:lang w:val="en-US" w:eastAsia="zh-CN"/>
        </w:rPr>
        <w:t>1年内的经审计的财务报告或银行出具的资信证明或其他会计报表等</w:t>
      </w:r>
      <w:r>
        <w:rPr>
          <w:rFonts w:hint="eastAsia" w:ascii="仿宋" w:hAnsi="仿宋" w:eastAsia="仿宋" w:cs="仿宋"/>
          <w:sz w:val="24"/>
          <w:szCs w:val="24"/>
          <w:highlight w:val="none"/>
          <w:lang w:val="en-US" w:eastAsia="zh-CN"/>
        </w:rPr>
        <w:t>，成立不满一年不需提供）；</w:t>
      </w:r>
    </w:p>
    <w:p w14:paraId="2979BD43">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有依法缴纳税收和社会保障资金的良好记录（提供提交</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截止时间前</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年内至少一个月依法缴纳税收及缴纳社会保障资金的证明材料</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依法享受缓缴、免缴税收、社会保障资金的提供证明材料。）；</w:t>
      </w:r>
    </w:p>
    <w:p w14:paraId="61089468">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1.4具备履行合同所必需的设备和专业技术能力的书面声明；</w:t>
      </w:r>
    </w:p>
    <w:p w14:paraId="0EBC421B">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1.5参加政府采购活动前3年内在经营活动中没有重大违法记录的书面声明。</w:t>
      </w:r>
    </w:p>
    <w:p w14:paraId="31B0928D">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1.6</w:t>
      </w:r>
      <w:r>
        <w:rPr>
          <w:rFonts w:hint="eastAsia" w:ascii="仿宋" w:hAnsi="仿宋" w:eastAsia="仿宋" w:cs="仿宋"/>
          <w:sz w:val="24"/>
          <w:szCs w:val="24"/>
          <w:highlight w:val="none"/>
        </w:rPr>
        <w:t>法律、行政法规规定的其他</w:t>
      </w:r>
      <w:r>
        <w:rPr>
          <w:rFonts w:hint="eastAsia" w:ascii="仿宋" w:hAnsi="仿宋" w:eastAsia="仿宋" w:cs="仿宋"/>
          <w:sz w:val="24"/>
          <w:szCs w:val="24"/>
          <w:highlight w:val="none"/>
        </w:rPr>
        <w:t>条件：无</w:t>
      </w:r>
    </w:p>
    <w:p w14:paraId="0BB72823">
      <w:pPr>
        <w:spacing w:line="530" w:lineRule="exact"/>
        <w:ind w:firstLine="48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第</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rPr>
        <w:t>条所称重大违法记录，是指</w:t>
      </w:r>
      <w:r>
        <w:rPr>
          <w:rFonts w:hint="eastAsia" w:ascii="仿宋" w:hAnsi="仿宋" w:eastAsia="仿宋" w:cs="仿宋"/>
          <w:sz w:val="24"/>
          <w:szCs w:val="24"/>
          <w:highlight w:val="none"/>
          <w:lang w:val="en-US" w:eastAsia="zh-CN"/>
        </w:rPr>
        <w:t>投标人</w:t>
      </w:r>
      <w:r>
        <w:rPr>
          <w:rFonts w:hint="eastAsia" w:ascii="仿宋" w:hAnsi="仿宋" w:eastAsia="仿宋" w:cs="仿宋"/>
          <w:sz w:val="24"/>
          <w:szCs w:val="24"/>
          <w:highlight w:val="none"/>
        </w:rPr>
        <w:t>因违法经营受到刑事处罚或者责令停产停业、吊销许可证或者执照、较大数额罚款等行政处罚</w:t>
      </w:r>
      <w:r>
        <w:rPr>
          <w:rFonts w:hint="eastAsia" w:ascii="仿宋" w:hAnsi="仿宋" w:eastAsia="仿宋" w:cs="仿宋"/>
          <w:sz w:val="24"/>
          <w:szCs w:val="24"/>
          <w:highlight w:val="none"/>
          <w:lang w:eastAsia="zh-CN"/>
        </w:rPr>
        <w:t>。</w:t>
      </w:r>
    </w:p>
    <w:p w14:paraId="334B9524">
      <w:pPr>
        <w:spacing w:line="530" w:lineRule="exact"/>
        <w:ind w:firstLine="72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在参加政府采购活动前3年内因违法经营被禁止在一定期限内参加政府采购活动，期限届满的，可以参加政府采购活动。</w:t>
      </w:r>
    </w:p>
    <w:p w14:paraId="7698CAF7">
      <w:pPr>
        <w:spacing w:line="530" w:lineRule="exact"/>
        <w:ind w:firstLine="720"/>
        <w:rPr>
          <w:rFonts w:hint="eastAsia" w:ascii="仿宋" w:hAnsi="仿宋" w:eastAsia="仿宋" w:cs="仿宋"/>
          <w:sz w:val="24"/>
          <w:szCs w:val="24"/>
          <w:highlight w:val="none"/>
        </w:rPr>
      </w:pPr>
      <w:r>
        <w:rPr>
          <w:rFonts w:hint="eastAsia" w:ascii="仿宋" w:hAnsi="仿宋" w:eastAsia="仿宋" w:cs="仿宋"/>
          <w:sz w:val="24"/>
          <w:szCs w:val="24"/>
          <w:highlight w:val="none"/>
        </w:rPr>
        <w:t>（3）依据南京市财政局“关于在政府采购中推行信用承诺制的通知”，政府采购</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只需在资格审查环节针对1.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项-1.</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项提供满足相应条件的书面承诺书（指：南京市政府采购供应商信用记录表暨信用承诺书），不再需要提供证明材料。</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在成交后，应按采购文件要求，将由信用承诺书替代的证明材料提交采购人或采购代理机构核验。经核验无误后，由采购人或采购代理机构发出成交通知书。</w:t>
      </w:r>
    </w:p>
    <w:p w14:paraId="22B36404">
      <w:pPr>
        <w:spacing w:line="530" w:lineRule="exact"/>
        <w:ind w:firstLine="720"/>
        <w:rPr>
          <w:rFonts w:hint="eastAsia" w:ascii="仿宋" w:hAnsi="仿宋" w:eastAsia="仿宋" w:cs="仿宋"/>
          <w:sz w:val="24"/>
          <w:szCs w:val="24"/>
          <w:highlight w:val="none"/>
        </w:rPr>
      </w:pPr>
      <w:r>
        <w:rPr>
          <w:rFonts w:hint="eastAsia" w:ascii="仿宋" w:hAnsi="仿宋" w:eastAsia="仿宋" w:cs="仿宋"/>
          <w:sz w:val="24"/>
          <w:szCs w:val="24"/>
          <w:highlight w:val="none"/>
        </w:rPr>
        <w:t>（4）不适用信用承诺的情形：①供应商被列入严重失信主体名单；②被相关监管部门作出行政处罚且尚在处罚有效期内；③其他法律、行政法规规定的不适用信用承诺的情形。</w:t>
      </w:r>
    </w:p>
    <w:p w14:paraId="609EC72B">
      <w:pPr>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落实政府采购政策需满足的资格要求</w:t>
      </w:r>
      <w:r>
        <w:rPr>
          <w:rFonts w:hint="eastAsia" w:ascii="仿宋" w:hAnsi="仿宋" w:eastAsia="仿宋" w:cs="仿宋"/>
          <w:sz w:val="24"/>
          <w:szCs w:val="24"/>
          <w:highlight w:val="none"/>
          <w:lang w:eastAsia="zh-CN"/>
        </w:rPr>
        <w:t>：无</w:t>
      </w:r>
    </w:p>
    <w:p w14:paraId="104C548C">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本项目的特定资格要求</w:t>
      </w:r>
      <w:r>
        <w:rPr>
          <w:rFonts w:hint="eastAsia" w:ascii="仿宋" w:hAnsi="仿宋" w:eastAsia="仿宋" w:cs="仿宋"/>
          <w:sz w:val="24"/>
          <w:szCs w:val="24"/>
          <w:highlight w:val="none"/>
          <w:lang w:eastAsia="zh-CN"/>
        </w:rPr>
        <w:t>：</w:t>
      </w:r>
    </w:p>
    <w:p w14:paraId="7EC5D94C">
      <w:pPr>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1）供应商具备建筑工程施工总承包三级及以上资质；（提供证书复印件并加盖供应商公章）</w:t>
      </w:r>
    </w:p>
    <w:p w14:paraId="0A0F9649">
      <w:pPr>
        <w:pageBreakBefore w:val="0"/>
        <w:widowControl/>
        <w:shd w:val="clear" w:color="auto" w:fill="FFFFFF"/>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2）供应商</w:t>
      </w:r>
      <w:r>
        <w:rPr>
          <w:rFonts w:hint="eastAsia" w:ascii="仿宋" w:hAnsi="仿宋" w:eastAsia="仿宋" w:cs="仿宋"/>
          <w:b/>
          <w:bCs/>
          <w:sz w:val="24"/>
          <w:szCs w:val="24"/>
          <w:highlight w:val="none"/>
          <w:lang w:eastAsia="zh-CN"/>
        </w:rPr>
        <w:t>具备有效期内安全生产许可证；</w:t>
      </w:r>
      <w:r>
        <w:rPr>
          <w:rFonts w:hint="eastAsia" w:ascii="仿宋" w:hAnsi="仿宋" w:eastAsia="仿宋" w:cs="仿宋"/>
          <w:b/>
          <w:bCs/>
          <w:sz w:val="24"/>
          <w:szCs w:val="24"/>
          <w:highlight w:val="none"/>
          <w:lang w:val="en-US" w:eastAsia="zh-CN"/>
        </w:rPr>
        <w:t>（提供证书复印件并加盖供应商公章）</w:t>
      </w:r>
    </w:p>
    <w:p w14:paraId="2C41E6CB">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rPr>
        <w:t>本项目</w:t>
      </w:r>
      <w:r>
        <w:rPr>
          <w:rFonts w:hint="eastAsia" w:ascii="仿宋" w:hAnsi="仿宋" w:eastAsia="仿宋" w:cs="仿宋"/>
          <w:b/>
          <w:bCs/>
          <w:sz w:val="24"/>
          <w:szCs w:val="24"/>
          <w:highlight w:val="none"/>
          <w:u w:val="single"/>
        </w:rPr>
        <w:t>不接受</w:t>
      </w:r>
      <w:r>
        <w:rPr>
          <w:rFonts w:hint="eastAsia" w:ascii="仿宋" w:hAnsi="仿宋" w:eastAsia="仿宋" w:cs="仿宋"/>
          <w:sz w:val="24"/>
          <w:szCs w:val="24"/>
          <w:highlight w:val="none"/>
        </w:rPr>
        <w:t>联合体</w:t>
      </w:r>
      <w:r>
        <w:rPr>
          <w:rFonts w:hint="eastAsia" w:ascii="仿宋" w:hAnsi="仿宋" w:eastAsia="仿宋" w:cs="仿宋"/>
          <w:sz w:val="24"/>
          <w:szCs w:val="24"/>
          <w:highlight w:val="none"/>
          <w:lang w:eastAsia="zh-CN"/>
        </w:rPr>
        <w:t>响应，</w:t>
      </w:r>
      <w:r>
        <w:rPr>
          <w:rFonts w:hint="eastAsia" w:ascii="仿宋" w:hAnsi="仿宋" w:eastAsia="仿宋" w:cs="仿宋"/>
          <w:b/>
          <w:bCs/>
          <w:sz w:val="24"/>
          <w:szCs w:val="24"/>
          <w:highlight w:val="none"/>
          <w:u w:val="single"/>
          <w:lang w:eastAsia="zh-CN"/>
        </w:rPr>
        <w:t>不允许</w:t>
      </w:r>
      <w:r>
        <w:rPr>
          <w:rFonts w:hint="eastAsia" w:ascii="仿宋" w:hAnsi="仿宋" w:eastAsia="仿宋" w:cs="仿宋"/>
          <w:sz w:val="24"/>
          <w:szCs w:val="24"/>
          <w:highlight w:val="none"/>
          <w:lang w:eastAsia="zh-CN"/>
        </w:rPr>
        <w:t>分包、转包</w:t>
      </w:r>
      <w:r>
        <w:rPr>
          <w:rFonts w:hint="eastAsia" w:ascii="仿宋" w:hAnsi="仿宋" w:eastAsia="仿宋" w:cs="仿宋"/>
          <w:sz w:val="24"/>
          <w:szCs w:val="24"/>
          <w:highlight w:val="none"/>
          <w:lang w:eastAsia="zh-CN"/>
        </w:rPr>
        <w:t>。</w:t>
      </w:r>
    </w:p>
    <w:p w14:paraId="67FFF1EA">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.本项目</w:t>
      </w:r>
      <w:r>
        <w:rPr>
          <w:rFonts w:hint="eastAsia" w:ascii="仿宋" w:hAnsi="仿宋" w:eastAsia="仿宋" w:cs="仿宋"/>
          <w:sz w:val="24"/>
          <w:szCs w:val="24"/>
          <w:highlight w:val="none"/>
          <w:lang w:eastAsia="zh-CN"/>
        </w:rPr>
        <w:t>不</w:t>
      </w:r>
      <w:r>
        <w:rPr>
          <w:rFonts w:hint="eastAsia" w:ascii="仿宋" w:hAnsi="仿宋" w:eastAsia="仿宋" w:cs="仿宋"/>
          <w:sz w:val="24"/>
          <w:szCs w:val="24"/>
          <w:highlight w:val="none"/>
        </w:rPr>
        <w:t>接受进口产品</w:t>
      </w: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。（注：本文件所称进口产品是指通过中国海关报关验放进入中国境内且产自关境外的产品）</w:t>
      </w:r>
    </w:p>
    <w:p w14:paraId="09040365">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6.拒绝下述供应商参加本次采购活动：</w:t>
      </w:r>
    </w:p>
    <w:p w14:paraId="7BFEE869">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6.1负责人为同一人或者存在直接控股、管理关系的不同供应商，不得参加同一合同项下的政府采购活动。</w:t>
      </w:r>
    </w:p>
    <w:p w14:paraId="21499B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6.2供应商被“信用中国”（www.creditchina.gov.cn）、中国政府采购网(www.ccgp.gov.cn)等网站列入失信被执行人、重大税收违法案件当事人名单、政府采购严重违法失信行为记录名单</w:t>
      </w:r>
      <w:r>
        <w:rPr>
          <w:rFonts w:hint="eastAsia" w:ascii="仿宋" w:hAnsi="仿宋" w:eastAsia="仿宋" w:cs="仿宋"/>
          <w:sz w:val="24"/>
          <w:szCs w:val="24"/>
          <w:highlight w:val="none"/>
        </w:rPr>
        <w:t>。</w:t>
      </w:r>
    </w:p>
    <w:p w14:paraId="6899D6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6.3拒绝为采购项目提供整体设计、规范编制或者项目管理、监理、检测等服务的供应商参加本项目的采购活动。</w:t>
      </w:r>
    </w:p>
    <w:p w14:paraId="067644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val="en-US" w:eastAsia="zh-CN"/>
        </w:rPr>
        <w:t>政府采购信用承诺</w:t>
      </w:r>
    </w:p>
    <w:p w14:paraId="1B008B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根据《关于在政府采购活动中推行信用承诺制的通知》宁财购通〔2021〕5号规定，参加南京地区政府采购活动的供应商，应以书面形式向采购人或政府采购代理机构作出信用承诺。供应商应尽早做好承诺工作，点击‘南京公共采购信息网’首页 （njgc.jfh.com）‘南京市政府采购供应商诚信档案’系统链接打开系统页</w:t>
      </w:r>
      <w:r>
        <w:rPr>
          <w:rFonts w:hint="eastAsia" w:ascii="仿宋" w:hAnsi="仿宋" w:eastAsia="仿宋" w:cs="仿宋"/>
          <w:sz w:val="24"/>
          <w:szCs w:val="24"/>
          <w:highlight w:val="none"/>
          <w:lang w:eastAsia="zh-CN"/>
        </w:rPr>
        <w:t>面（</w:t>
      </w:r>
      <w:r>
        <w:rPr>
          <w:rFonts w:hint="eastAsia" w:ascii="仿宋" w:hAnsi="仿宋" w:eastAsia="仿宋" w:cs="仿宋"/>
          <w:sz w:val="24"/>
          <w:szCs w:val="24"/>
          <w:highlight w:val="none"/>
        </w:rPr>
        <w:t>http://180.101.238.212:8280/hodeframe2018_cxda/index.</w:t>
      </w:r>
    </w:p>
    <w:p w14:paraId="7D4A41D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36"/>
          <w:szCs w:val="36"/>
          <w:highlight w:val="none"/>
        </w:rPr>
      </w:pPr>
      <w:r>
        <w:rPr>
          <w:rFonts w:hint="eastAsia" w:ascii="仿宋" w:hAnsi="仿宋" w:eastAsia="仿宋" w:cs="仿宋"/>
          <w:sz w:val="24"/>
          <w:szCs w:val="24"/>
          <w:highlight w:val="none"/>
        </w:rPr>
        <w:t>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r>
        <w:rPr>
          <w:rFonts w:hint="eastAsia" w:ascii="仿宋" w:hAnsi="仿宋" w:eastAsia="仿宋" w:cs="仿宋"/>
          <w:sz w:val="24"/>
          <w:szCs w:val="24"/>
          <w:highlight w:val="none"/>
          <w:lang w:eastAsia="zh-CN"/>
        </w:rPr>
        <w:t>。</w:t>
      </w:r>
    </w:p>
    <w:p w14:paraId="31483EB7">
      <w:pPr>
        <w:pStyle w:val="2"/>
        <w:keepNext/>
        <w:keepLines/>
        <w:pageBreakBefore w:val="0"/>
        <w:widowControl w:val="0"/>
        <w:kinsoku/>
        <w:wordWrap/>
        <w:overflowPunct/>
        <w:topLinePunct w:val="0"/>
        <w:autoSpaceDE/>
        <w:autoSpaceDN/>
        <w:bidi w:val="0"/>
        <w:adjustRightInd/>
        <w:snapToGrid/>
        <w:spacing w:before="0" w:after="0" w:line="360" w:lineRule="auto"/>
        <w:ind w:firstLine="436" w:firstLineChars="155"/>
        <w:textAlignment w:val="auto"/>
        <w:outlineLvl w:val="1"/>
        <w:rPr>
          <w:rFonts w:hint="eastAsia" w:ascii="仿宋" w:hAnsi="仿宋" w:eastAsia="仿宋" w:cs="仿宋"/>
          <w:b/>
          <w:bCs/>
          <w:sz w:val="28"/>
          <w:szCs w:val="28"/>
          <w:highlight w:val="none"/>
          <w:lang w:eastAsia="zh-CN"/>
        </w:rPr>
      </w:pPr>
      <w:bookmarkStart w:id="24" w:name="_Toc23404"/>
      <w:bookmarkStart w:id="25" w:name="_Toc30251"/>
      <w:bookmarkStart w:id="26" w:name="_Toc22668"/>
      <w:bookmarkStart w:id="27" w:name="_Toc16768"/>
      <w:r>
        <w:rPr>
          <w:rFonts w:hint="eastAsia" w:ascii="仿宋" w:hAnsi="仿宋" w:eastAsia="仿宋" w:cs="仿宋"/>
          <w:b/>
          <w:bCs/>
          <w:sz w:val="28"/>
          <w:szCs w:val="28"/>
          <w:highlight w:val="none"/>
        </w:rPr>
        <w:t>三、获取</w:t>
      </w:r>
      <w:bookmarkEnd w:id="19"/>
      <w:bookmarkEnd w:id="20"/>
      <w:bookmarkEnd w:id="21"/>
      <w:bookmarkEnd w:id="22"/>
      <w:bookmarkEnd w:id="23"/>
      <w:bookmarkEnd w:id="24"/>
      <w:bookmarkEnd w:id="25"/>
      <w:r>
        <w:rPr>
          <w:rFonts w:hint="eastAsia" w:ascii="仿宋" w:hAnsi="仿宋" w:eastAsia="仿宋" w:cs="仿宋"/>
          <w:b/>
          <w:bCs/>
          <w:sz w:val="28"/>
          <w:szCs w:val="28"/>
          <w:highlight w:val="none"/>
          <w:lang w:eastAsia="zh-CN"/>
        </w:rPr>
        <w:t>磋商文件</w:t>
      </w:r>
      <w:bookmarkEnd w:id="26"/>
      <w:bookmarkEnd w:id="27"/>
    </w:p>
    <w:p w14:paraId="71FAF513">
      <w:pPr>
        <w:keepNext w:val="0"/>
        <w:keepLines w:val="0"/>
        <w:pageBreakBefore w:val="0"/>
        <w:widowControl w:val="0"/>
        <w:kinsoku/>
        <w:wordWrap/>
        <w:overflowPunct/>
        <w:topLinePunct w:val="0"/>
        <w:autoSpaceDE/>
        <w:autoSpaceDN/>
        <w:bidi w:val="0"/>
        <w:adjustRightInd/>
        <w:snapToGrid/>
        <w:spacing w:line="360" w:lineRule="auto"/>
        <w:ind w:firstLine="539"/>
        <w:textAlignment w:val="auto"/>
        <w:outlineLvl w:val="9"/>
        <w:rPr>
          <w:rFonts w:hint="eastAsia" w:ascii="仿宋" w:hAnsi="仿宋" w:eastAsia="仿宋" w:cs="仿宋"/>
          <w:b w:val="0"/>
          <w:bCs w:val="0"/>
          <w:color w:val="000000"/>
          <w:kern w:val="2"/>
          <w:sz w:val="24"/>
          <w:szCs w:val="24"/>
          <w:highlight w:val="none"/>
          <w:lang w:val="en-US" w:eastAsia="zh-CN" w:bidi="ar-SA"/>
        </w:rPr>
      </w:pPr>
      <w:bookmarkStart w:id="28" w:name="_Toc28359082"/>
      <w:bookmarkStart w:id="29" w:name="_Toc28359005"/>
      <w:bookmarkStart w:id="30" w:name="_Toc35393793"/>
      <w:bookmarkStart w:id="31" w:name="_Toc38985266"/>
      <w:bookmarkStart w:id="32" w:name="_Toc7070"/>
      <w:bookmarkStart w:id="33" w:name="_Toc35393624"/>
      <w:r>
        <w:rPr>
          <w:rFonts w:hint="eastAsia" w:ascii="仿宋" w:hAnsi="仿宋" w:eastAsia="仿宋" w:cs="仿宋"/>
          <w:b/>
          <w:bCs/>
          <w:color w:val="000000"/>
          <w:kern w:val="2"/>
          <w:sz w:val="24"/>
          <w:szCs w:val="24"/>
          <w:highlight w:val="none"/>
          <w:lang w:val="en-US" w:eastAsia="zh-CN" w:bidi="ar-SA"/>
        </w:rPr>
        <w:t>时间：</w:t>
      </w:r>
      <w:r>
        <w:rPr>
          <w:rFonts w:hint="eastAsia" w:ascii="仿宋" w:hAnsi="仿宋" w:eastAsia="仿宋" w:cs="仿宋"/>
          <w:b w:val="0"/>
          <w:bCs w:val="0"/>
          <w:color w:val="000000"/>
          <w:kern w:val="2"/>
          <w:sz w:val="24"/>
          <w:szCs w:val="24"/>
          <w:highlight w:val="none"/>
          <w:lang w:val="en-US" w:eastAsia="zh-CN" w:bidi="ar-SA"/>
        </w:rPr>
        <w:t>即日起至2026年2月</w:t>
      </w:r>
      <w:r>
        <w:rPr>
          <w:rFonts w:hint="eastAsia" w:ascii="仿宋" w:hAnsi="仿宋" w:eastAsia="仿宋" w:cs="仿宋"/>
          <w:b w:val="0"/>
          <w:bCs w:val="0"/>
          <w:color w:val="000000"/>
          <w:kern w:val="2"/>
          <w:sz w:val="24"/>
          <w:szCs w:val="24"/>
          <w:highlight w:val="none"/>
          <w:lang w:val="en-US" w:eastAsia="zh-CN" w:bidi="ar-SA"/>
        </w:rPr>
        <w:t>3</w:t>
      </w:r>
      <w:r>
        <w:rPr>
          <w:rFonts w:hint="eastAsia" w:ascii="仿宋" w:hAnsi="仿宋" w:eastAsia="仿宋" w:cs="仿宋"/>
          <w:b w:val="0"/>
          <w:bCs w:val="0"/>
          <w:color w:val="000000"/>
          <w:kern w:val="2"/>
          <w:sz w:val="24"/>
          <w:szCs w:val="24"/>
          <w:highlight w:val="none"/>
          <w:lang w:val="en-US" w:eastAsia="zh-CN" w:bidi="ar-SA"/>
        </w:rPr>
        <w:t>日，每天</w:t>
      </w:r>
      <w:r>
        <w:rPr>
          <w:rFonts w:hint="eastAsia" w:ascii="仿宋" w:hAnsi="仿宋" w:eastAsia="仿宋" w:cs="仿宋"/>
          <w:b w:val="0"/>
          <w:bCs w:val="0"/>
          <w:color w:val="000000"/>
          <w:kern w:val="2"/>
          <w:sz w:val="24"/>
          <w:szCs w:val="24"/>
          <w:highlight w:val="none"/>
          <w:lang w:val="en-US" w:eastAsia="zh-CN" w:bidi="ar-SA"/>
        </w:rPr>
        <w:t>上午09:00至12:00，下午14:00至17:00（北京时间，法定节假日除外 ）。</w:t>
      </w:r>
    </w:p>
    <w:p w14:paraId="5404CE1C">
      <w:pPr>
        <w:pageBreakBefore w:val="0"/>
        <w:widowControl w:val="0"/>
        <w:kinsoku/>
        <w:wordWrap/>
        <w:overflowPunct/>
        <w:topLinePunct w:val="0"/>
        <w:autoSpaceDE/>
        <w:autoSpaceDN/>
        <w:bidi w:val="0"/>
        <w:adjustRightInd/>
        <w:snapToGrid/>
        <w:spacing w:line="360" w:lineRule="auto"/>
        <w:ind w:firstLine="540"/>
        <w:textAlignment w:val="auto"/>
        <w:outlineLvl w:val="9"/>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bCs/>
          <w:color w:val="000000"/>
          <w:kern w:val="2"/>
          <w:sz w:val="24"/>
          <w:szCs w:val="24"/>
          <w:highlight w:val="none"/>
          <w:lang w:val="en-US" w:eastAsia="zh-CN" w:bidi="ar-SA"/>
        </w:rPr>
        <w:t>地点：</w:t>
      </w:r>
      <w:r>
        <w:rPr>
          <w:rFonts w:hint="eastAsia" w:ascii="仿宋" w:hAnsi="仿宋" w:eastAsia="仿宋" w:cs="仿宋"/>
          <w:b w:val="0"/>
          <w:bCs w:val="0"/>
          <w:color w:val="000000"/>
          <w:kern w:val="2"/>
          <w:sz w:val="24"/>
          <w:szCs w:val="24"/>
          <w:highlight w:val="none"/>
          <w:lang w:val="en-US" w:eastAsia="zh-CN" w:bidi="ar-SA"/>
        </w:rPr>
        <w:t>江苏省南京市建邺区奥体大街68号（新城科技园国际研发总园）3幢6楼</w:t>
      </w:r>
    </w:p>
    <w:p w14:paraId="1153A835">
      <w:pPr>
        <w:keepNext w:val="0"/>
        <w:keepLines w:val="0"/>
        <w:pageBreakBefore w:val="0"/>
        <w:widowControl w:val="0"/>
        <w:kinsoku/>
        <w:wordWrap/>
        <w:overflowPunct/>
        <w:topLinePunct w:val="0"/>
        <w:autoSpaceDE/>
        <w:autoSpaceDN/>
        <w:bidi w:val="0"/>
        <w:adjustRightInd/>
        <w:snapToGrid/>
        <w:spacing w:line="360" w:lineRule="auto"/>
        <w:ind w:firstLine="540" w:firstLineChars="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kern w:val="2"/>
          <w:sz w:val="24"/>
          <w:szCs w:val="24"/>
          <w:highlight w:val="none"/>
          <w:lang w:val="en-US" w:eastAsia="zh-CN" w:bidi="ar-SA"/>
        </w:rPr>
        <w:t>获取方式：</w:t>
      </w:r>
      <w:r>
        <w:rPr>
          <w:rFonts w:hint="eastAsia" w:ascii="仿宋" w:hAnsi="仿宋" w:eastAsia="仿宋" w:cs="仿宋"/>
          <w:b/>
          <w:bCs/>
          <w:color w:val="000000"/>
          <w:sz w:val="24"/>
          <w:szCs w:val="24"/>
          <w:highlight w:val="none"/>
          <w:lang w:val="en-US" w:eastAsia="zh-CN"/>
        </w:rPr>
        <w:t>现场获取或与项目负责人联系，</w:t>
      </w:r>
      <w:r>
        <w:rPr>
          <w:rFonts w:hint="eastAsia" w:ascii="仿宋" w:hAnsi="仿宋" w:eastAsia="仿宋" w:cs="仿宋"/>
          <w:b w:val="0"/>
          <w:bCs w:val="0"/>
          <w:color w:val="000000"/>
          <w:sz w:val="24"/>
          <w:szCs w:val="24"/>
          <w:highlight w:val="none"/>
          <w:lang w:val="en-US" w:eastAsia="zh-CN"/>
        </w:rPr>
        <w:t>携带以下</w:t>
      </w:r>
      <w:r>
        <w:rPr>
          <w:rFonts w:hint="eastAsia" w:ascii="仿宋" w:hAnsi="仿宋" w:eastAsia="仿宋" w:cs="仿宋"/>
          <w:b/>
          <w:bCs/>
          <w:color w:val="000000"/>
          <w:sz w:val="24"/>
          <w:szCs w:val="24"/>
          <w:highlight w:val="none"/>
          <w:lang w:val="en-US" w:eastAsia="zh-CN"/>
        </w:rPr>
        <w:t>相关资料</w:t>
      </w:r>
      <w:r>
        <w:rPr>
          <w:rFonts w:hint="eastAsia" w:ascii="仿宋" w:hAnsi="仿宋" w:eastAsia="仿宋" w:cs="仿宋"/>
          <w:b w:val="0"/>
          <w:bCs w:val="0"/>
          <w:color w:val="000000"/>
          <w:sz w:val="24"/>
          <w:szCs w:val="24"/>
          <w:highlight w:val="none"/>
          <w:lang w:val="en-US" w:eastAsia="zh-CN"/>
        </w:rPr>
        <w:t>并加盖公章。标书工本费现金支付或支付宝支付</w:t>
      </w:r>
      <w:r>
        <w:rPr>
          <w:rFonts w:hint="eastAsia" w:ascii="仿宋" w:hAnsi="仿宋" w:eastAsia="仿宋" w:cs="仿宋"/>
          <w:b w:val="0"/>
          <w:bCs w:val="0"/>
          <w:color w:val="000000"/>
          <w:sz w:val="24"/>
          <w:szCs w:val="24"/>
          <w:highlight w:val="none"/>
        </w:rPr>
        <w:t>；</w:t>
      </w:r>
    </w:p>
    <w:p w14:paraId="020CFC5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相关资料：</w:t>
      </w:r>
      <w:r>
        <w:rPr>
          <w:rFonts w:hint="eastAsia" w:ascii="仿宋" w:hAnsi="仿宋" w:eastAsia="仿宋" w:cs="仿宋"/>
          <w:b/>
          <w:bCs/>
          <w:color w:val="000000"/>
          <w:kern w:val="2"/>
          <w:sz w:val="24"/>
          <w:szCs w:val="24"/>
          <w:highlight w:val="none"/>
          <w:u w:val="single"/>
          <w:lang w:val="en-US" w:eastAsia="zh-CN" w:bidi="ar-SA"/>
        </w:rPr>
        <w:t>营业执照副本复印件</w:t>
      </w:r>
      <w:r>
        <w:rPr>
          <w:rFonts w:hint="eastAsia" w:ascii="仿宋" w:hAnsi="仿宋" w:eastAsia="仿宋" w:cs="仿宋"/>
          <w:b w:val="0"/>
          <w:bCs w:val="0"/>
          <w:color w:val="000000"/>
          <w:kern w:val="2"/>
          <w:sz w:val="24"/>
          <w:szCs w:val="24"/>
          <w:highlight w:val="none"/>
          <w:lang w:val="en-US" w:eastAsia="zh-CN" w:bidi="ar-SA"/>
        </w:rPr>
        <w:t>、</w:t>
      </w:r>
      <w:r>
        <w:rPr>
          <w:rFonts w:hint="eastAsia" w:ascii="仿宋" w:hAnsi="仿宋" w:eastAsia="仿宋" w:cs="仿宋"/>
          <w:b/>
          <w:bCs/>
          <w:color w:val="000000"/>
          <w:kern w:val="2"/>
          <w:sz w:val="24"/>
          <w:szCs w:val="24"/>
          <w:highlight w:val="none"/>
          <w:u w:val="single"/>
          <w:lang w:val="en-US" w:eastAsia="zh-CN" w:bidi="ar-SA"/>
        </w:rPr>
        <w:t>法人授权委托书</w:t>
      </w:r>
      <w:r>
        <w:rPr>
          <w:rFonts w:hint="eastAsia" w:ascii="仿宋" w:hAnsi="仿宋" w:eastAsia="仿宋" w:cs="仿宋"/>
          <w:b w:val="0"/>
          <w:bCs w:val="0"/>
          <w:color w:val="000000"/>
          <w:kern w:val="2"/>
          <w:sz w:val="24"/>
          <w:szCs w:val="24"/>
          <w:highlight w:val="none"/>
          <w:u w:val="single"/>
          <w:lang w:val="en-US" w:eastAsia="zh-CN" w:bidi="ar-SA"/>
        </w:rPr>
        <w:t>、</w:t>
      </w:r>
      <w:r>
        <w:rPr>
          <w:rFonts w:hint="eastAsia" w:ascii="仿宋" w:hAnsi="仿宋" w:eastAsia="仿宋" w:cs="仿宋"/>
          <w:b/>
          <w:bCs/>
          <w:color w:val="000000"/>
          <w:sz w:val="24"/>
          <w:szCs w:val="24"/>
          <w:highlight w:val="none"/>
          <w:u w:val="single"/>
          <w:lang w:val="en-US" w:eastAsia="zh-CN"/>
        </w:rPr>
        <w:t>法定代表人和被受托人身份证复印件</w:t>
      </w:r>
      <w:r>
        <w:rPr>
          <w:rFonts w:hint="eastAsia" w:ascii="仿宋" w:hAnsi="仿宋" w:eastAsia="仿宋" w:cs="仿宋"/>
          <w:b w:val="0"/>
          <w:bCs w:val="0"/>
          <w:color w:val="000000"/>
          <w:kern w:val="2"/>
          <w:sz w:val="24"/>
          <w:szCs w:val="24"/>
          <w:highlight w:val="none"/>
          <w:lang w:val="en-US" w:eastAsia="zh-CN" w:bidi="ar-SA"/>
        </w:rPr>
        <w:t>，以上材料均需加盖公章</w:t>
      </w:r>
      <w:r>
        <w:rPr>
          <w:rFonts w:hint="eastAsia" w:ascii="仿宋" w:hAnsi="仿宋" w:eastAsia="仿宋" w:cs="仿宋"/>
          <w:b w:val="0"/>
          <w:bCs w:val="0"/>
          <w:color w:val="000000"/>
          <w:sz w:val="24"/>
          <w:szCs w:val="24"/>
          <w:highlight w:val="none"/>
          <w:lang w:eastAsia="zh-CN"/>
        </w:rPr>
        <w:t>。</w:t>
      </w:r>
      <w:r>
        <w:rPr>
          <w:rFonts w:hint="eastAsia" w:ascii="仿宋" w:hAnsi="仿宋" w:eastAsia="仿宋" w:cs="仿宋"/>
          <w:color w:val="000000"/>
          <w:sz w:val="24"/>
          <w:szCs w:val="24"/>
          <w:highlight w:val="none"/>
          <w:lang w:eastAsia="zh-CN"/>
        </w:rPr>
        <w:t>竞争性磋商文件获取后</w:t>
      </w:r>
      <w:r>
        <w:rPr>
          <w:rFonts w:hint="eastAsia" w:ascii="仿宋" w:hAnsi="仿宋" w:eastAsia="仿宋" w:cs="仿宋"/>
          <w:color w:val="000000"/>
          <w:sz w:val="24"/>
          <w:szCs w:val="24"/>
          <w:highlight w:val="none"/>
        </w:rPr>
        <w:t>概不退还。</w:t>
      </w:r>
    </w:p>
    <w:p w14:paraId="16F222B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bCs/>
          <w:color w:val="000000"/>
          <w:sz w:val="24"/>
          <w:szCs w:val="24"/>
          <w:highlight w:val="none"/>
        </w:rPr>
        <w:t>标书工本费（售价）：</w:t>
      </w:r>
      <w:r>
        <w:rPr>
          <w:rFonts w:hint="eastAsia" w:ascii="仿宋" w:hAnsi="仿宋" w:eastAsia="仿宋" w:cs="仿宋"/>
          <w:color w:val="000000"/>
          <w:sz w:val="24"/>
          <w:szCs w:val="24"/>
          <w:highlight w:val="none"/>
        </w:rPr>
        <w:t>人民币</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00元/</w:t>
      </w:r>
      <w:r>
        <w:rPr>
          <w:rFonts w:hint="eastAsia" w:ascii="仿宋" w:hAnsi="仿宋" w:eastAsia="仿宋" w:cs="仿宋"/>
          <w:color w:val="000000"/>
          <w:sz w:val="24"/>
          <w:szCs w:val="24"/>
          <w:highlight w:val="none"/>
          <w:lang w:val="en-US" w:eastAsia="zh-CN"/>
        </w:rPr>
        <w:t>份</w:t>
      </w:r>
      <w:r>
        <w:rPr>
          <w:rFonts w:hint="eastAsia" w:ascii="仿宋" w:hAnsi="仿宋" w:eastAsia="仿宋" w:cs="仿宋"/>
          <w:color w:val="000000"/>
          <w:sz w:val="24"/>
          <w:szCs w:val="24"/>
          <w:highlight w:val="none"/>
          <w:lang w:eastAsia="zh-CN"/>
        </w:rPr>
        <w:t>。</w:t>
      </w:r>
    </w:p>
    <w:p w14:paraId="5420127D">
      <w:pPr>
        <w:pStyle w:val="2"/>
        <w:keepNext/>
        <w:keepLines/>
        <w:pageBreakBefore w:val="0"/>
        <w:widowControl w:val="0"/>
        <w:kinsoku/>
        <w:wordWrap/>
        <w:overflowPunct/>
        <w:topLinePunct w:val="0"/>
        <w:autoSpaceDE/>
        <w:autoSpaceDN/>
        <w:bidi w:val="0"/>
        <w:adjustRightInd/>
        <w:snapToGrid/>
        <w:spacing w:before="0" w:after="0" w:line="240" w:lineRule="auto"/>
        <w:ind w:firstLine="436" w:firstLineChars="155"/>
        <w:textAlignment w:val="auto"/>
        <w:outlineLvl w:val="1"/>
        <w:rPr>
          <w:rFonts w:hint="eastAsia" w:ascii="仿宋" w:hAnsi="仿宋" w:eastAsia="仿宋" w:cs="仿宋"/>
          <w:b/>
          <w:bCs/>
          <w:sz w:val="28"/>
          <w:szCs w:val="28"/>
          <w:highlight w:val="none"/>
        </w:rPr>
      </w:pPr>
      <w:bookmarkStart w:id="34" w:name="_Toc18720"/>
      <w:bookmarkStart w:id="35" w:name="_Toc19261"/>
      <w:bookmarkStart w:id="36" w:name="_Toc19405"/>
      <w:r>
        <w:rPr>
          <w:rFonts w:hint="eastAsia" w:ascii="仿宋" w:hAnsi="仿宋" w:eastAsia="仿宋" w:cs="仿宋"/>
          <w:b/>
          <w:bCs/>
          <w:sz w:val="28"/>
          <w:szCs w:val="28"/>
          <w:highlight w:val="none"/>
        </w:rPr>
        <w:t>四、提交</w:t>
      </w:r>
      <w:bookmarkEnd w:id="28"/>
      <w:bookmarkEnd w:id="29"/>
      <w:r>
        <w:rPr>
          <w:rFonts w:hint="eastAsia" w:ascii="仿宋" w:hAnsi="仿宋" w:eastAsia="仿宋" w:cs="仿宋"/>
          <w:b/>
          <w:bCs/>
          <w:sz w:val="28"/>
          <w:szCs w:val="28"/>
          <w:highlight w:val="none"/>
          <w:lang w:eastAsia="zh-CN"/>
        </w:rPr>
        <w:t>响应文件</w:t>
      </w:r>
      <w:r>
        <w:rPr>
          <w:rFonts w:hint="eastAsia" w:ascii="仿宋" w:hAnsi="仿宋" w:eastAsia="仿宋" w:cs="仿宋"/>
          <w:b/>
          <w:bCs/>
          <w:sz w:val="28"/>
          <w:szCs w:val="28"/>
          <w:highlight w:val="none"/>
        </w:rPr>
        <w:t>截止时间、</w:t>
      </w:r>
      <w:r>
        <w:rPr>
          <w:rFonts w:hint="eastAsia" w:ascii="仿宋" w:hAnsi="仿宋" w:eastAsia="仿宋" w:cs="仿宋"/>
          <w:b/>
          <w:bCs/>
          <w:sz w:val="28"/>
          <w:szCs w:val="28"/>
          <w:highlight w:val="none"/>
          <w:lang w:eastAsia="zh-CN"/>
        </w:rPr>
        <w:t>磋商</w:t>
      </w:r>
      <w:r>
        <w:rPr>
          <w:rFonts w:hint="eastAsia" w:ascii="仿宋" w:hAnsi="仿宋" w:eastAsia="仿宋" w:cs="仿宋"/>
          <w:b/>
          <w:bCs/>
          <w:sz w:val="28"/>
          <w:szCs w:val="28"/>
          <w:highlight w:val="none"/>
        </w:rPr>
        <w:t>时间和地点</w:t>
      </w:r>
      <w:bookmarkEnd w:id="30"/>
      <w:bookmarkEnd w:id="31"/>
      <w:bookmarkEnd w:id="32"/>
      <w:bookmarkEnd w:id="33"/>
      <w:bookmarkEnd w:id="34"/>
      <w:bookmarkEnd w:id="35"/>
      <w:bookmarkEnd w:id="36"/>
    </w:p>
    <w:p w14:paraId="72874E94">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val="0"/>
          <w:color w:val="000000"/>
          <w:kern w:val="2"/>
          <w:sz w:val="24"/>
          <w:szCs w:val="24"/>
          <w:highlight w:val="none"/>
          <w:lang w:val="en-US" w:eastAsia="zh-CN" w:bidi="ar-SA"/>
        </w:rPr>
      </w:pPr>
      <w:bookmarkStart w:id="37" w:name="_Toc28359007"/>
      <w:bookmarkStart w:id="38" w:name="_Toc28359084"/>
      <w:bookmarkStart w:id="39" w:name="_Toc38985267"/>
      <w:bookmarkStart w:id="40" w:name="_Toc35393794"/>
      <w:bookmarkStart w:id="41" w:name="_Toc35393625"/>
      <w:r>
        <w:rPr>
          <w:rFonts w:hint="eastAsia" w:ascii="仿宋" w:hAnsi="仿宋" w:eastAsia="仿宋" w:cs="仿宋"/>
          <w:b w:val="0"/>
          <w:bCs w:val="0"/>
          <w:color w:val="000000"/>
          <w:kern w:val="2"/>
          <w:sz w:val="24"/>
          <w:szCs w:val="24"/>
          <w:highlight w:val="none"/>
          <w:lang w:val="en-US" w:eastAsia="zh-CN" w:bidi="ar-SA"/>
        </w:rPr>
        <w:t>时</w:t>
      </w:r>
      <w:r>
        <w:rPr>
          <w:rFonts w:hint="eastAsia" w:ascii="仿宋" w:hAnsi="仿宋" w:eastAsia="仿宋" w:cs="仿宋"/>
          <w:b w:val="0"/>
          <w:bCs w:val="0"/>
          <w:color w:val="000000"/>
          <w:kern w:val="2"/>
          <w:sz w:val="24"/>
          <w:szCs w:val="24"/>
          <w:highlight w:val="none"/>
          <w:lang w:val="en-US" w:eastAsia="zh-CN" w:bidi="ar-SA"/>
        </w:rPr>
        <w:t>间：2026年2月</w:t>
      </w:r>
      <w:r>
        <w:rPr>
          <w:rFonts w:hint="eastAsia" w:ascii="仿宋" w:hAnsi="仿宋" w:eastAsia="仿宋" w:cs="仿宋"/>
          <w:b w:val="0"/>
          <w:bCs w:val="0"/>
          <w:color w:val="000000"/>
          <w:kern w:val="2"/>
          <w:sz w:val="24"/>
          <w:szCs w:val="24"/>
          <w:highlight w:val="none"/>
          <w:lang w:val="en-US" w:eastAsia="zh-CN" w:bidi="ar-SA"/>
        </w:rPr>
        <w:t>9</w:t>
      </w:r>
      <w:r>
        <w:rPr>
          <w:rFonts w:hint="eastAsia" w:ascii="仿宋" w:hAnsi="仿宋" w:eastAsia="仿宋" w:cs="仿宋"/>
          <w:b w:val="0"/>
          <w:bCs w:val="0"/>
          <w:color w:val="000000"/>
          <w:kern w:val="2"/>
          <w:sz w:val="24"/>
          <w:szCs w:val="24"/>
          <w:highlight w:val="none"/>
          <w:lang w:val="en-US" w:eastAsia="zh-CN" w:bidi="ar-SA"/>
        </w:rPr>
        <w:t>日09:30（北</w:t>
      </w:r>
      <w:r>
        <w:rPr>
          <w:rFonts w:hint="eastAsia" w:ascii="仿宋" w:hAnsi="仿宋" w:eastAsia="仿宋" w:cs="仿宋"/>
          <w:b w:val="0"/>
          <w:bCs w:val="0"/>
          <w:color w:val="000000"/>
          <w:kern w:val="2"/>
          <w:sz w:val="24"/>
          <w:szCs w:val="24"/>
          <w:highlight w:val="none"/>
          <w:lang w:val="en-US" w:eastAsia="zh-CN" w:bidi="ar-SA"/>
        </w:rPr>
        <w:t>京时间）</w:t>
      </w:r>
    </w:p>
    <w:p w14:paraId="4B4A0953">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地点：江苏省南京市建邺区奥体大街68号（新城科技园国际研发总园）3幢6</w:t>
      </w:r>
      <w:r>
        <w:rPr>
          <w:rFonts w:hint="eastAsia" w:ascii="仿宋" w:hAnsi="仿宋" w:eastAsia="仿宋" w:cs="仿宋"/>
          <w:b w:val="0"/>
          <w:bCs w:val="0"/>
          <w:color w:val="000000"/>
          <w:kern w:val="2"/>
          <w:sz w:val="24"/>
          <w:szCs w:val="24"/>
          <w:highlight w:val="none"/>
          <w:lang w:val="en-US" w:eastAsia="zh-CN" w:bidi="ar-SA"/>
        </w:rPr>
        <w:t>楼开标室</w:t>
      </w:r>
    </w:p>
    <w:p w14:paraId="2101A390">
      <w:pPr>
        <w:pStyle w:val="2"/>
        <w:keepNext/>
        <w:keepLines/>
        <w:pageBreakBefore w:val="0"/>
        <w:widowControl w:val="0"/>
        <w:kinsoku/>
        <w:wordWrap/>
        <w:overflowPunct/>
        <w:topLinePunct w:val="0"/>
        <w:autoSpaceDE/>
        <w:autoSpaceDN/>
        <w:bidi w:val="0"/>
        <w:adjustRightInd/>
        <w:snapToGrid/>
        <w:spacing w:before="0" w:after="0" w:line="240" w:lineRule="auto"/>
        <w:ind w:firstLine="436" w:firstLineChars="155"/>
        <w:textAlignment w:val="auto"/>
        <w:outlineLvl w:val="1"/>
        <w:rPr>
          <w:rFonts w:hint="eastAsia" w:ascii="仿宋" w:hAnsi="仿宋" w:eastAsia="仿宋" w:cs="仿宋"/>
          <w:b/>
          <w:bCs/>
          <w:sz w:val="28"/>
          <w:szCs w:val="28"/>
          <w:highlight w:val="none"/>
        </w:rPr>
      </w:pPr>
      <w:bookmarkStart w:id="42" w:name="_Toc30677"/>
      <w:bookmarkStart w:id="43" w:name="_Toc1577"/>
      <w:bookmarkStart w:id="44" w:name="_Toc4654"/>
      <w:r>
        <w:rPr>
          <w:rFonts w:hint="eastAsia" w:ascii="仿宋" w:hAnsi="仿宋" w:eastAsia="仿宋" w:cs="仿宋"/>
          <w:b/>
          <w:bCs/>
          <w:sz w:val="28"/>
          <w:szCs w:val="28"/>
          <w:highlight w:val="none"/>
        </w:rPr>
        <w:t>五、公告期限</w:t>
      </w:r>
      <w:bookmarkEnd w:id="37"/>
      <w:bookmarkEnd w:id="38"/>
      <w:bookmarkEnd w:id="39"/>
      <w:bookmarkEnd w:id="40"/>
      <w:bookmarkEnd w:id="41"/>
      <w:bookmarkEnd w:id="42"/>
      <w:bookmarkEnd w:id="43"/>
      <w:bookmarkEnd w:id="44"/>
    </w:p>
    <w:p w14:paraId="62BBBC11">
      <w:pPr>
        <w:ind w:firstLine="480" w:firstLineChars="200"/>
        <w:rPr>
          <w:rFonts w:hint="eastAsia" w:ascii="仿宋" w:hAnsi="仿宋" w:eastAsia="仿宋" w:cs="仿宋"/>
          <w:kern w:val="0"/>
          <w:sz w:val="24"/>
          <w:szCs w:val="24"/>
          <w:highlight w:val="none"/>
        </w:rPr>
      </w:pPr>
      <w:bookmarkStart w:id="45" w:name="_Toc35393795"/>
      <w:bookmarkStart w:id="46" w:name="_Toc35393626"/>
      <w:bookmarkStart w:id="47" w:name="_Toc38985268"/>
      <w:r>
        <w:rPr>
          <w:rFonts w:hint="eastAsia" w:ascii="仿宋" w:hAnsi="仿宋" w:eastAsia="仿宋" w:cs="仿宋"/>
          <w:kern w:val="0"/>
          <w:sz w:val="24"/>
          <w:szCs w:val="24"/>
          <w:highlight w:val="none"/>
        </w:rPr>
        <w:t>自本公告发布之日起</w:t>
      </w: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rPr>
        <w:t>个工作日。</w:t>
      </w:r>
    </w:p>
    <w:p w14:paraId="0FC13321">
      <w:pPr>
        <w:pStyle w:val="2"/>
        <w:keepNext/>
        <w:keepLines/>
        <w:pageBreakBefore w:val="0"/>
        <w:widowControl w:val="0"/>
        <w:kinsoku/>
        <w:wordWrap/>
        <w:overflowPunct/>
        <w:topLinePunct w:val="0"/>
        <w:autoSpaceDE/>
        <w:autoSpaceDN/>
        <w:bidi w:val="0"/>
        <w:adjustRightInd/>
        <w:snapToGrid/>
        <w:spacing w:before="0" w:after="0" w:line="240" w:lineRule="auto"/>
        <w:ind w:firstLine="436" w:firstLineChars="155"/>
        <w:textAlignment w:val="auto"/>
        <w:outlineLvl w:val="1"/>
        <w:rPr>
          <w:rFonts w:hint="eastAsia" w:ascii="仿宋" w:hAnsi="仿宋" w:eastAsia="仿宋" w:cs="仿宋"/>
          <w:b/>
          <w:bCs/>
          <w:sz w:val="28"/>
          <w:szCs w:val="28"/>
          <w:highlight w:val="none"/>
        </w:rPr>
      </w:pPr>
      <w:bookmarkStart w:id="48" w:name="_Toc11996"/>
      <w:bookmarkStart w:id="49" w:name="_Toc21286"/>
      <w:bookmarkStart w:id="50" w:name="_Toc8854"/>
      <w:bookmarkStart w:id="51" w:name="_Toc1976"/>
      <w:r>
        <w:rPr>
          <w:rFonts w:hint="eastAsia" w:ascii="仿宋" w:hAnsi="仿宋" w:eastAsia="仿宋" w:cs="仿宋"/>
          <w:b/>
          <w:bCs/>
          <w:sz w:val="28"/>
          <w:szCs w:val="28"/>
          <w:highlight w:val="none"/>
        </w:rPr>
        <w:t>六、其他补充事宜</w:t>
      </w:r>
      <w:bookmarkEnd w:id="45"/>
      <w:bookmarkEnd w:id="46"/>
      <w:bookmarkEnd w:id="47"/>
      <w:bookmarkEnd w:id="48"/>
      <w:bookmarkEnd w:id="49"/>
      <w:bookmarkEnd w:id="50"/>
      <w:bookmarkEnd w:id="51"/>
    </w:p>
    <w:p w14:paraId="008E27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b w:val="0"/>
          <w:bCs w:val="0"/>
          <w:color w:val="000000"/>
          <w:kern w:val="2"/>
          <w:sz w:val="24"/>
          <w:szCs w:val="24"/>
          <w:highlight w:val="none"/>
          <w:lang w:val="en-US" w:eastAsia="zh-CN" w:bidi="ar-SA"/>
        </w:rPr>
        <w:t>有关本次磋商的事项若存在变动或修改，敬请及时关注江苏柒采招标代理有限公司发布的更正公告</w:t>
      </w:r>
    </w:p>
    <w:p w14:paraId="604C86CB">
      <w:pPr>
        <w:pStyle w:val="2"/>
        <w:keepNext/>
        <w:keepLines/>
        <w:pageBreakBefore w:val="0"/>
        <w:widowControl w:val="0"/>
        <w:kinsoku/>
        <w:wordWrap/>
        <w:overflowPunct/>
        <w:topLinePunct w:val="0"/>
        <w:autoSpaceDE/>
        <w:autoSpaceDN/>
        <w:bidi w:val="0"/>
        <w:adjustRightInd/>
        <w:snapToGrid/>
        <w:spacing w:before="0" w:after="0" w:line="240" w:lineRule="auto"/>
        <w:ind w:firstLine="436" w:firstLineChars="155"/>
        <w:textAlignment w:val="auto"/>
        <w:outlineLvl w:val="1"/>
        <w:rPr>
          <w:rFonts w:hint="eastAsia" w:ascii="仿宋" w:hAnsi="仿宋" w:eastAsia="仿宋" w:cs="仿宋"/>
          <w:b/>
          <w:bCs/>
          <w:sz w:val="28"/>
          <w:szCs w:val="28"/>
          <w:highlight w:val="none"/>
        </w:rPr>
      </w:pPr>
      <w:bookmarkStart w:id="52" w:name="_Toc38985269"/>
      <w:bookmarkStart w:id="53" w:name="_Toc31699"/>
      <w:bookmarkStart w:id="54" w:name="_Toc35393627"/>
      <w:bookmarkStart w:id="55" w:name="_Toc28359085"/>
      <w:bookmarkStart w:id="56" w:name="_Toc28359008"/>
      <w:bookmarkStart w:id="57" w:name="_Toc35393796"/>
      <w:bookmarkStart w:id="58" w:name="_Toc5413"/>
      <w:bookmarkStart w:id="59" w:name="_Toc9794"/>
      <w:bookmarkStart w:id="60" w:name="_Toc14169"/>
      <w:r>
        <w:rPr>
          <w:rFonts w:hint="eastAsia" w:ascii="仿宋" w:hAnsi="仿宋" w:eastAsia="仿宋" w:cs="仿宋"/>
          <w:b/>
          <w:bCs/>
          <w:sz w:val="28"/>
          <w:szCs w:val="28"/>
          <w:highlight w:val="none"/>
        </w:rPr>
        <w:t>七、本次</w:t>
      </w:r>
      <w:r>
        <w:rPr>
          <w:rFonts w:hint="eastAsia" w:ascii="仿宋" w:hAnsi="仿宋" w:eastAsia="仿宋" w:cs="仿宋"/>
          <w:b/>
          <w:bCs/>
          <w:sz w:val="28"/>
          <w:szCs w:val="28"/>
          <w:highlight w:val="none"/>
          <w:lang w:eastAsia="zh-CN"/>
        </w:rPr>
        <w:t>磋商</w:t>
      </w:r>
      <w:r>
        <w:rPr>
          <w:rFonts w:hint="eastAsia" w:ascii="仿宋" w:hAnsi="仿宋" w:eastAsia="仿宋" w:cs="仿宋"/>
          <w:b/>
          <w:bCs/>
          <w:sz w:val="28"/>
          <w:szCs w:val="28"/>
          <w:highlight w:val="none"/>
        </w:rPr>
        <w:t>联系方式</w:t>
      </w:r>
      <w:bookmarkEnd w:id="52"/>
      <w:bookmarkEnd w:id="53"/>
      <w:bookmarkEnd w:id="54"/>
      <w:bookmarkEnd w:id="55"/>
      <w:bookmarkEnd w:id="56"/>
      <w:bookmarkEnd w:id="57"/>
      <w:bookmarkEnd w:id="58"/>
      <w:bookmarkEnd w:id="59"/>
      <w:bookmarkEnd w:id="60"/>
      <w:bookmarkStart w:id="65" w:name="_GoBack"/>
      <w:bookmarkEnd w:id="65"/>
    </w:p>
    <w:p w14:paraId="6D3DB32C">
      <w:pPr>
        <w:widowControl/>
        <w:jc w:val="left"/>
        <w:rPr>
          <w:rFonts w:hint="eastAsia" w:ascii="仿宋" w:hAnsi="仿宋" w:eastAsia="仿宋" w:cs="仿宋"/>
          <w:sz w:val="24"/>
          <w:szCs w:val="24"/>
          <w:highlight w:val="none"/>
        </w:rPr>
      </w:pPr>
      <w:r>
        <w:rPr>
          <w:rFonts w:hint="eastAsia" w:ascii="仿宋" w:hAnsi="仿宋" w:eastAsia="仿宋" w:cs="仿宋"/>
          <w:sz w:val="28"/>
          <w:szCs w:val="28"/>
          <w:highlight w:val="none"/>
        </w:rPr>
        <w:t>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4"/>
          <w:szCs w:val="24"/>
          <w:highlight w:val="none"/>
        </w:rPr>
        <w:t>1.采购人信息</w:t>
      </w:r>
    </w:p>
    <w:p w14:paraId="4BD33E2D">
      <w:pPr>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highlight w:val="none"/>
          <w:lang w:eastAsia="zh-CN"/>
        </w:rPr>
      </w:pPr>
      <w:bookmarkStart w:id="61" w:name="_Toc28359086"/>
      <w:bookmarkStart w:id="62" w:name="_Toc28359009"/>
      <w:r>
        <w:rPr>
          <w:rFonts w:hint="eastAsia" w:ascii="仿宋" w:hAnsi="仿宋" w:eastAsia="仿宋" w:cs="仿宋"/>
          <w:sz w:val="24"/>
          <w:szCs w:val="24"/>
          <w:highlight w:val="none"/>
          <w:lang w:val="en-US" w:eastAsia="zh-CN"/>
        </w:rPr>
        <w:t>名称：南京市建邺区人民政府江心洲街道办事处</w:t>
      </w:r>
    </w:p>
    <w:p w14:paraId="013C5334">
      <w:pPr>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地址：南京市建邺区亚鹏路66号</w:t>
      </w:r>
    </w:p>
    <w:p w14:paraId="59A1950A">
      <w:pPr>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联系人:段先生     </w:t>
      </w:r>
    </w:p>
    <w:p w14:paraId="325CA872">
      <w:pPr>
        <w:pageBreakBefore w:val="0"/>
        <w:kinsoku/>
        <w:wordWrap/>
        <w:overflowPunct/>
        <w:topLinePunct w:val="0"/>
        <w:autoSpaceDE/>
        <w:autoSpaceDN/>
        <w:bidi w:val="0"/>
        <w:adjustRightInd/>
        <w:snapToGrid/>
        <w:spacing w:line="360" w:lineRule="auto"/>
        <w:ind w:firstLine="720" w:firstLineChars="300"/>
        <w:textAlignment w:val="auto"/>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联系方式：</w:t>
      </w:r>
      <w:r>
        <w:rPr>
          <w:rFonts w:hint="eastAsia" w:ascii="仿宋" w:hAnsi="仿宋" w:eastAsia="仿宋" w:cs="仿宋"/>
          <w:sz w:val="24"/>
          <w:szCs w:val="24"/>
          <w:highlight w:val="none"/>
          <w:lang w:val="en-US" w:eastAsia="zh-CN"/>
        </w:rPr>
        <w:t>025-86333671</w:t>
      </w:r>
    </w:p>
    <w:bookmarkEnd w:id="61"/>
    <w:bookmarkEnd w:id="62"/>
    <w:p w14:paraId="03ECCDFE">
      <w:pPr>
        <w:keepNext w:val="0"/>
        <w:keepLines w:val="0"/>
        <w:pageBreakBefore w:val="0"/>
        <w:widowControl/>
        <w:kinsoku/>
        <w:wordWrap/>
        <w:overflowPunct/>
        <w:topLinePunct w:val="0"/>
        <w:autoSpaceDE/>
        <w:autoSpaceDN/>
        <w:bidi w:val="0"/>
        <w:adjustRightInd/>
        <w:snapToGrid/>
        <w:ind w:firstLine="720" w:firstLineChars="3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招标代理信息</w:t>
      </w:r>
    </w:p>
    <w:p w14:paraId="752DB8A6">
      <w:pPr>
        <w:spacing w:line="360" w:lineRule="auto"/>
        <w:ind w:firstLine="720" w:firstLineChars="3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名称：江苏柒采招标代理有限公司</w:t>
      </w:r>
    </w:p>
    <w:p w14:paraId="14BEC549">
      <w:pPr>
        <w:spacing w:line="360" w:lineRule="auto"/>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地址：</w:t>
      </w:r>
      <w:r>
        <w:rPr>
          <w:rFonts w:hint="eastAsia" w:ascii="仿宋" w:hAnsi="仿宋" w:eastAsia="仿宋" w:cs="仿宋"/>
          <w:b w:val="0"/>
          <w:bCs w:val="0"/>
          <w:color w:val="000000"/>
          <w:kern w:val="2"/>
          <w:sz w:val="24"/>
          <w:szCs w:val="24"/>
          <w:highlight w:val="none"/>
          <w:lang w:val="en-US" w:eastAsia="zh-CN" w:bidi="ar-SA"/>
        </w:rPr>
        <w:t>江苏省南京市建邺区奥体大街68号（新城科技园国际研发总园）3幢6楼</w:t>
      </w:r>
    </w:p>
    <w:p w14:paraId="63B7A6F5">
      <w:pPr>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联系人：喻工、李金楠</w:t>
      </w:r>
    </w:p>
    <w:p w14:paraId="25C02281">
      <w:pPr>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联系方式：</w:t>
      </w:r>
      <w:bookmarkStart w:id="63" w:name="_Toc28359087"/>
      <w:bookmarkStart w:id="64" w:name="_Toc28359010"/>
      <w:r>
        <w:rPr>
          <w:rFonts w:hint="eastAsia" w:ascii="仿宋" w:hAnsi="仿宋" w:eastAsia="仿宋" w:cs="仿宋"/>
          <w:sz w:val="24"/>
          <w:szCs w:val="24"/>
          <w:highlight w:val="none"/>
        </w:rPr>
        <w:t>025-83</w:t>
      </w:r>
      <w:r>
        <w:rPr>
          <w:rFonts w:hint="eastAsia" w:ascii="仿宋" w:hAnsi="仿宋" w:eastAsia="仿宋" w:cs="仿宋"/>
          <w:sz w:val="24"/>
          <w:szCs w:val="24"/>
          <w:highlight w:val="none"/>
          <w:lang w:val="en-US" w:eastAsia="zh-CN"/>
        </w:rPr>
        <w:t>370296-708</w:t>
      </w:r>
    </w:p>
    <w:bookmarkEnd w:id="63"/>
    <w:bookmarkEnd w:id="64"/>
    <w:p w14:paraId="6CCC84AF">
      <w:pPr>
        <w:jc w:val="right"/>
        <w:rPr>
          <w:rFonts w:hint="eastAsia" w:ascii="仿宋" w:hAnsi="仿宋" w:eastAsia="仿宋" w:cs="仿宋"/>
          <w:sz w:val="24"/>
          <w:szCs w:val="24"/>
          <w:highlight w:val="none"/>
        </w:rPr>
      </w:pPr>
    </w:p>
    <w:p w14:paraId="737A5DC5">
      <w:pPr>
        <w:jc w:val="right"/>
        <w:rPr>
          <w:rFonts w:hint="eastAsia" w:ascii="仿宋" w:hAnsi="仿宋" w:eastAsia="仿宋" w:cs="仿宋"/>
          <w:sz w:val="24"/>
          <w:szCs w:val="24"/>
          <w:highlight w:val="none"/>
        </w:rPr>
      </w:pPr>
    </w:p>
    <w:p w14:paraId="2B92BD00">
      <w:pPr>
        <w:pageBreakBefore w:val="0"/>
        <w:kinsoku/>
        <w:wordWrap/>
        <w:overflowPunct/>
        <w:topLinePunct w:val="0"/>
        <w:autoSpaceDE/>
        <w:autoSpaceDN/>
        <w:bidi w:val="0"/>
        <w:adjustRightInd/>
        <w:snapToGrid/>
        <w:spacing w:line="360" w:lineRule="auto"/>
        <w:ind w:firstLine="720" w:firstLineChars="300"/>
        <w:jc w:val="righ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南京市建邺区人民政府江心洲街道办事处</w:t>
      </w:r>
    </w:p>
    <w:p w14:paraId="1D8450CA">
      <w:pPr>
        <w:wordWrap w:val="0"/>
        <w:jc w:val="right"/>
        <w:rPr>
          <w:rFonts w:hint="eastAsia" w:eastAsia="仿宋"/>
          <w:highlight w:val="none"/>
          <w:lang w:val="en-US" w:eastAsia="zh-CN"/>
        </w:rPr>
      </w:pPr>
      <w:r>
        <w:rPr>
          <w:rFonts w:hint="eastAsia" w:ascii="仿宋" w:hAnsi="仿宋" w:eastAsia="仿宋" w:cs="仿宋"/>
          <w:sz w:val="24"/>
          <w:szCs w:val="24"/>
          <w:highlight w:val="none"/>
        </w:rPr>
        <w:t>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27</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kNDdhZmI5MTVhZDBmNDE5ZDU5Y2RjZDAyNDUyY2MifQ=="/>
  </w:docVars>
  <w:rsids>
    <w:rsidRoot w:val="651974EE"/>
    <w:rsid w:val="16C27D18"/>
    <w:rsid w:val="316A6D97"/>
    <w:rsid w:val="57FB240C"/>
    <w:rsid w:val="609E371C"/>
    <w:rsid w:val="651974EE"/>
    <w:rsid w:val="6FE61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3"/>
    <w:autoRedefine/>
    <w:qFormat/>
    <w:uiPriority w:val="0"/>
    <w:pPr>
      <w:keepNext/>
      <w:keepLines/>
      <w:spacing w:before="260" w:after="260" w:line="416" w:lineRule="auto"/>
      <w:outlineLvl w:val="2"/>
    </w:pPr>
    <w:rPr>
      <w:b/>
      <w:bCs/>
      <w:sz w:val="32"/>
      <w:szCs w:val="32"/>
    </w:rPr>
  </w:style>
  <w:style w:type="character" w:default="1" w:styleId="5">
    <w:name w:val="Default Paragraph Font"/>
    <w:autoRedefine/>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pPr>
  </w:style>
  <w:style w:type="paragraph" w:customStyle="1" w:styleId="6">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2126</Words>
  <Characters>2418</Characters>
  <Lines>0</Lines>
  <Paragraphs>0</Paragraphs>
  <TotalTime>11</TotalTime>
  <ScaleCrop>false</ScaleCrop>
  <LinksUpToDate>false</LinksUpToDate>
  <CharactersWithSpaces>2433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2026-01-08T02:52:00Z</dcterms:created>
  <dc:creator>Merlyn</dc:creator>
  <cp:lastModifiedBy>HJY</cp:lastModifiedBy>
  <dcterms:modified xsi:type="dcterms:W3CDTF">2026-01-27T11:24:17Z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4343FE030CEB44EEBF9C117C3DC4C1B6_13</vt:lpwstr>
  </property>
  <property fmtid="{D5CDD505-2E9C-101B-9397-08002B2CF9AE}" pid="4" name="KSOTemplateDocerSaveRecord">
    <vt:lpwstr>eyJoZGlkIjoiNGJiNzI4ZTgzMTZiZjNjYWFiODc1MDRjYTY1MjFkYWQiLCJ1c2VySWQiOiIxNjIxMjQ0MjA1In0=</vt:lpwstr>
  </property>
</Properties>
</file>