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表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1：</w:t>
      </w:r>
    </w:p>
    <w:p w14:paraId="3EBC9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lang w:eastAsia="zh-CN"/>
        </w:rPr>
        <w:t>建邺区人力资源和社会保障局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2025年涉企行政检查计划表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185"/>
        <w:gridCol w:w="1185"/>
        <w:gridCol w:w="1200"/>
        <w:gridCol w:w="1860"/>
        <w:gridCol w:w="1207"/>
        <w:gridCol w:w="1185"/>
        <w:gridCol w:w="1185"/>
        <w:gridCol w:w="1185"/>
        <w:gridCol w:w="1185"/>
        <w:gridCol w:w="1185"/>
        <w:gridCol w:w="1185"/>
      </w:tblGrid>
      <w:tr w14:paraId="3C60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 w14:paraId="43FA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14:paraId="2CFB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1185" w:type="dxa"/>
            <w:vAlign w:val="center"/>
          </w:tcPr>
          <w:p w14:paraId="1A15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200" w:type="dxa"/>
            <w:vAlign w:val="center"/>
          </w:tcPr>
          <w:p w14:paraId="1CA47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860" w:type="dxa"/>
            <w:vAlign w:val="center"/>
          </w:tcPr>
          <w:p w14:paraId="19AF9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207" w:type="dxa"/>
            <w:vAlign w:val="center"/>
          </w:tcPr>
          <w:p w14:paraId="4AE1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185" w:type="dxa"/>
            <w:vAlign w:val="center"/>
          </w:tcPr>
          <w:p w14:paraId="29E1F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185" w:type="dxa"/>
            <w:vAlign w:val="center"/>
          </w:tcPr>
          <w:p w14:paraId="15D3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监管等级</w:t>
            </w:r>
          </w:p>
        </w:tc>
        <w:tc>
          <w:tcPr>
            <w:tcW w:w="1185" w:type="dxa"/>
            <w:vAlign w:val="center"/>
          </w:tcPr>
          <w:p w14:paraId="7F315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抽取比例或数量</w:t>
            </w:r>
          </w:p>
        </w:tc>
        <w:tc>
          <w:tcPr>
            <w:tcW w:w="1185" w:type="dxa"/>
            <w:vAlign w:val="center"/>
          </w:tcPr>
          <w:p w14:paraId="09DC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检查频次上限</w:t>
            </w:r>
          </w:p>
        </w:tc>
        <w:tc>
          <w:tcPr>
            <w:tcW w:w="1185" w:type="dxa"/>
            <w:vAlign w:val="center"/>
          </w:tcPr>
          <w:p w14:paraId="5863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是否联合检查</w:t>
            </w:r>
          </w:p>
        </w:tc>
        <w:tc>
          <w:tcPr>
            <w:tcW w:w="1185" w:type="dxa"/>
            <w:vAlign w:val="center"/>
          </w:tcPr>
          <w:p w14:paraId="4DBD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D59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 w14:paraId="42CD4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 w14:paraId="018C1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区人社局</w:t>
            </w:r>
          </w:p>
        </w:tc>
        <w:tc>
          <w:tcPr>
            <w:tcW w:w="1185" w:type="dxa"/>
            <w:vAlign w:val="center"/>
          </w:tcPr>
          <w:p w14:paraId="29308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00" w:type="dxa"/>
            <w:vAlign w:val="center"/>
          </w:tcPr>
          <w:p w14:paraId="02408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夏季高温期劳动者权益保障</w:t>
            </w:r>
          </w:p>
        </w:tc>
        <w:tc>
          <w:tcPr>
            <w:tcW w:w="1860" w:type="dxa"/>
            <w:vAlign w:val="center"/>
          </w:tcPr>
          <w:p w14:paraId="2A73F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《防暑降温措施管理办法》第八条、第十七条、第二十一条</w:t>
            </w:r>
          </w:p>
        </w:tc>
        <w:tc>
          <w:tcPr>
            <w:tcW w:w="1207" w:type="dxa"/>
            <w:vAlign w:val="center"/>
          </w:tcPr>
          <w:p w14:paraId="72DFA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2025年7月-10月</w:t>
            </w:r>
          </w:p>
        </w:tc>
        <w:tc>
          <w:tcPr>
            <w:tcW w:w="1185" w:type="dxa"/>
            <w:vAlign w:val="center"/>
          </w:tcPr>
          <w:p w14:paraId="1569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185" w:type="dxa"/>
            <w:vAlign w:val="center"/>
          </w:tcPr>
          <w:p w14:paraId="2B2F5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区级</w:t>
            </w:r>
          </w:p>
        </w:tc>
        <w:tc>
          <w:tcPr>
            <w:tcW w:w="1185" w:type="dxa"/>
            <w:vAlign w:val="center"/>
          </w:tcPr>
          <w:p w14:paraId="2BFA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400家</w:t>
            </w:r>
          </w:p>
        </w:tc>
        <w:tc>
          <w:tcPr>
            <w:tcW w:w="1185" w:type="dxa"/>
            <w:vAlign w:val="center"/>
          </w:tcPr>
          <w:p w14:paraId="5DC32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一户一次</w:t>
            </w:r>
          </w:p>
        </w:tc>
        <w:tc>
          <w:tcPr>
            <w:tcW w:w="1185" w:type="dxa"/>
            <w:vAlign w:val="center"/>
          </w:tcPr>
          <w:p w14:paraId="47035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185" w:type="dxa"/>
            <w:vAlign w:val="center"/>
          </w:tcPr>
          <w:p w14:paraId="58DD2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“双随机、一公开”抽查</w:t>
            </w:r>
          </w:p>
        </w:tc>
      </w:tr>
      <w:tr w14:paraId="01A4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vAlign w:val="center"/>
          </w:tcPr>
          <w:p w14:paraId="3C5C3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 w14:paraId="40165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区人社局</w:t>
            </w:r>
          </w:p>
        </w:tc>
        <w:tc>
          <w:tcPr>
            <w:tcW w:w="1185" w:type="dxa"/>
            <w:vAlign w:val="center"/>
          </w:tcPr>
          <w:p w14:paraId="4777A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经营性人力资源服务机构</w:t>
            </w:r>
          </w:p>
        </w:tc>
        <w:tc>
          <w:tcPr>
            <w:tcW w:w="1200" w:type="dxa"/>
            <w:vAlign w:val="center"/>
          </w:tcPr>
          <w:p w14:paraId="755FD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对经营性人力资源服务机构的行政检查</w:t>
            </w:r>
          </w:p>
        </w:tc>
        <w:tc>
          <w:tcPr>
            <w:tcW w:w="1860" w:type="dxa"/>
            <w:vAlign w:val="center"/>
          </w:tcPr>
          <w:p w14:paraId="378A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2"/>
                <w:lang w:val="en-US" w:eastAsia="zh-CN" w:bidi="ar"/>
              </w:rPr>
              <w:t>《人力资源市场暂行条例》第三十四条、第三十五条</w:t>
            </w:r>
          </w:p>
        </w:tc>
        <w:tc>
          <w:tcPr>
            <w:tcW w:w="1207" w:type="dxa"/>
            <w:vAlign w:val="center"/>
          </w:tcPr>
          <w:p w14:paraId="366E9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2025年7月-10月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C70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0614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区级</w:t>
            </w:r>
          </w:p>
        </w:tc>
        <w:tc>
          <w:tcPr>
            <w:tcW w:w="1185" w:type="dxa"/>
            <w:vAlign w:val="center"/>
          </w:tcPr>
          <w:p w14:paraId="6BF88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1家</w:t>
            </w:r>
          </w:p>
        </w:tc>
        <w:tc>
          <w:tcPr>
            <w:tcW w:w="1185" w:type="dxa"/>
            <w:vAlign w:val="center"/>
          </w:tcPr>
          <w:p w14:paraId="1A72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一户一次</w:t>
            </w:r>
          </w:p>
        </w:tc>
        <w:tc>
          <w:tcPr>
            <w:tcW w:w="1185" w:type="dxa"/>
            <w:vAlign w:val="center"/>
          </w:tcPr>
          <w:p w14:paraId="7560A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185" w:type="dxa"/>
            <w:vAlign w:val="center"/>
          </w:tcPr>
          <w:p w14:paraId="72A93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</w:p>
        </w:tc>
      </w:tr>
    </w:tbl>
    <w:p w14:paraId="28967623">
      <w:pPr>
        <w:rPr>
          <w:rFonts w:hint="default"/>
          <w:lang w:val="en-US" w:eastAsia="zh-CN"/>
        </w:rPr>
      </w:pPr>
    </w:p>
    <w:p w14:paraId="06DEAD34">
      <w:pPr>
        <w:rPr>
          <w:rFonts w:hint="default"/>
          <w:lang w:val="en-US" w:eastAsia="zh-CN"/>
        </w:rPr>
      </w:pPr>
    </w:p>
    <w:p w14:paraId="242814B1">
      <w:pPr>
        <w:rPr>
          <w:rFonts w:hint="default"/>
          <w:lang w:val="en-US" w:eastAsia="zh-CN"/>
        </w:rPr>
      </w:pPr>
    </w:p>
    <w:p w14:paraId="7BBF7C77">
      <w:pPr>
        <w:rPr>
          <w:rFonts w:hint="default"/>
          <w:lang w:val="en-US" w:eastAsia="zh-CN"/>
        </w:rPr>
      </w:pPr>
    </w:p>
    <w:p w14:paraId="5D3C0B82">
      <w:pPr>
        <w:rPr>
          <w:rFonts w:hint="default"/>
          <w:lang w:val="en-US" w:eastAsia="zh-CN"/>
        </w:rPr>
      </w:pPr>
    </w:p>
    <w:p w14:paraId="74469C5A">
      <w:pPr>
        <w:rPr>
          <w:rFonts w:hint="default"/>
          <w:lang w:val="en-US" w:eastAsia="zh-CN"/>
        </w:rPr>
      </w:pPr>
    </w:p>
    <w:p w14:paraId="0401546B">
      <w:pPr>
        <w:rPr>
          <w:rFonts w:hint="default"/>
          <w:lang w:val="en-US" w:eastAsia="zh-CN"/>
        </w:rPr>
      </w:pPr>
    </w:p>
    <w:p w14:paraId="66C7BB46">
      <w:pPr>
        <w:rPr>
          <w:rFonts w:hint="default"/>
          <w:lang w:val="en-US" w:eastAsia="zh-CN"/>
        </w:rPr>
      </w:pPr>
    </w:p>
    <w:p w14:paraId="43B9A113">
      <w:pPr>
        <w:rPr>
          <w:rFonts w:hint="default"/>
          <w:lang w:val="en-US" w:eastAsia="zh-CN"/>
        </w:rPr>
      </w:pPr>
    </w:p>
    <w:p w14:paraId="10651D05">
      <w:pPr>
        <w:rPr>
          <w:rFonts w:hint="default"/>
          <w:lang w:val="en-US" w:eastAsia="zh-CN"/>
        </w:rPr>
      </w:pPr>
    </w:p>
    <w:p w14:paraId="2CE95D06">
      <w:pPr>
        <w:rPr>
          <w:rFonts w:hint="default"/>
          <w:lang w:val="en-US" w:eastAsia="zh-CN"/>
        </w:rPr>
      </w:pPr>
      <w:bookmarkStart w:id="0" w:name="_GoBack"/>
      <w:bookmarkEnd w:id="0"/>
    </w:p>
    <w:p w14:paraId="0876E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p w14:paraId="45070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表2：</w:t>
      </w:r>
    </w:p>
    <w:p w14:paraId="2786E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lang w:eastAsia="zh-CN"/>
        </w:rPr>
        <w:t>建邺区人力资源和社会保障局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2025年联合检查计划表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95"/>
        <w:gridCol w:w="1215"/>
        <w:gridCol w:w="1200"/>
        <w:gridCol w:w="1680"/>
        <w:gridCol w:w="2910"/>
        <w:gridCol w:w="1290"/>
        <w:gridCol w:w="1200"/>
        <w:gridCol w:w="1230"/>
        <w:gridCol w:w="1207"/>
      </w:tblGrid>
      <w:tr w14:paraId="7E1E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2444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 w14:paraId="6EC54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1215" w:type="dxa"/>
            <w:vAlign w:val="center"/>
          </w:tcPr>
          <w:p w14:paraId="7B1E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5790" w:type="dxa"/>
            <w:gridSpan w:val="3"/>
            <w:vAlign w:val="center"/>
          </w:tcPr>
          <w:p w14:paraId="7C47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联合检查部门与检查事项</w:t>
            </w:r>
          </w:p>
        </w:tc>
        <w:tc>
          <w:tcPr>
            <w:tcW w:w="1290" w:type="dxa"/>
            <w:vAlign w:val="center"/>
          </w:tcPr>
          <w:p w14:paraId="609A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200" w:type="dxa"/>
            <w:vAlign w:val="center"/>
          </w:tcPr>
          <w:p w14:paraId="1796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230" w:type="dxa"/>
            <w:vAlign w:val="center"/>
          </w:tcPr>
          <w:p w14:paraId="2FDA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抽取比例或数量</w:t>
            </w:r>
          </w:p>
        </w:tc>
        <w:tc>
          <w:tcPr>
            <w:tcW w:w="1207" w:type="dxa"/>
            <w:vAlign w:val="center"/>
          </w:tcPr>
          <w:p w14:paraId="4B12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vertAlign w:val="baseline"/>
                <w:lang w:val="en-US" w:eastAsia="zh-CN"/>
              </w:rPr>
              <w:t>抽取及检查层级</w:t>
            </w:r>
          </w:p>
        </w:tc>
      </w:tr>
      <w:tr w14:paraId="43C0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  <w:vAlign w:val="center"/>
          </w:tcPr>
          <w:p w14:paraId="39AA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Merge w:val="restart"/>
            <w:vAlign w:val="center"/>
          </w:tcPr>
          <w:p w14:paraId="456C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关于对餐饮类企业实施劳动保障监察的专项检查</w:t>
            </w:r>
          </w:p>
        </w:tc>
        <w:tc>
          <w:tcPr>
            <w:tcW w:w="1215" w:type="dxa"/>
            <w:vMerge w:val="restart"/>
            <w:vAlign w:val="center"/>
          </w:tcPr>
          <w:p w14:paraId="0895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餐饮行业</w:t>
            </w:r>
          </w:p>
        </w:tc>
        <w:tc>
          <w:tcPr>
            <w:tcW w:w="1200" w:type="dxa"/>
            <w:vAlign w:val="center"/>
          </w:tcPr>
          <w:p w14:paraId="7BE0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发起部门</w:t>
            </w:r>
          </w:p>
        </w:tc>
        <w:tc>
          <w:tcPr>
            <w:tcW w:w="1680" w:type="dxa"/>
            <w:vAlign w:val="center"/>
          </w:tcPr>
          <w:p w14:paraId="66FE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区人社局</w:t>
            </w:r>
          </w:p>
        </w:tc>
        <w:tc>
          <w:tcPr>
            <w:tcW w:w="2910" w:type="dxa"/>
            <w:vAlign w:val="center"/>
          </w:tcPr>
          <w:p w14:paraId="0555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对劳动用工情况的行政检查</w:t>
            </w:r>
          </w:p>
        </w:tc>
        <w:tc>
          <w:tcPr>
            <w:tcW w:w="1290" w:type="dxa"/>
            <w:vMerge w:val="restart"/>
            <w:vAlign w:val="center"/>
          </w:tcPr>
          <w:p w14:paraId="621C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200" w:type="dxa"/>
            <w:vMerge w:val="restart"/>
            <w:vAlign w:val="center"/>
          </w:tcPr>
          <w:p w14:paraId="749E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230" w:type="dxa"/>
            <w:vMerge w:val="restart"/>
            <w:vAlign w:val="center"/>
          </w:tcPr>
          <w:p w14:paraId="781E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4家</w:t>
            </w:r>
          </w:p>
        </w:tc>
        <w:tc>
          <w:tcPr>
            <w:tcW w:w="1207" w:type="dxa"/>
            <w:vMerge w:val="restart"/>
            <w:vAlign w:val="center"/>
          </w:tcPr>
          <w:p w14:paraId="601C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区级</w:t>
            </w:r>
          </w:p>
        </w:tc>
      </w:tr>
      <w:tr w14:paraId="703D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</w:tcPr>
          <w:p w14:paraId="2198C8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</w:tcPr>
          <w:p w14:paraId="41BA87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 w14:paraId="7E86AB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188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参与部门</w:t>
            </w:r>
          </w:p>
        </w:tc>
        <w:tc>
          <w:tcPr>
            <w:tcW w:w="1680" w:type="dxa"/>
            <w:vAlign w:val="center"/>
          </w:tcPr>
          <w:p w14:paraId="5E43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区市场监管局</w:t>
            </w:r>
          </w:p>
        </w:tc>
        <w:tc>
          <w:tcPr>
            <w:tcW w:w="2910" w:type="dxa"/>
            <w:vAlign w:val="center"/>
          </w:tcPr>
          <w:p w14:paraId="65C1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vertAlign w:val="baseline"/>
                <w:lang w:val="en-US" w:eastAsia="zh-CN"/>
              </w:rPr>
              <w:t>食品经营许可情况的检查</w:t>
            </w:r>
          </w:p>
        </w:tc>
        <w:tc>
          <w:tcPr>
            <w:tcW w:w="1290" w:type="dxa"/>
            <w:vMerge w:val="continue"/>
          </w:tcPr>
          <w:p w14:paraId="4A33B1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 w14:paraId="79B6AD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 w14:paraId="0BAEC5B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</w:tcPr>
          <w:p w14:paraId="0C7BD2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F555DF5">
      <w:pPr>
        <w:rPr>
          <w:rFonts w:hint="default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74B8"/>
    <w:rsid w:val="0A0F63AC"/>
    <w:rsid w:val="596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424</Characters>
  <Lines>0</Lines>
  <Paragraphs>0</Paragraphs>
  <TotalTime>24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2025-07-04T02:10:00Z</dcterms:created>
  <dc:creator>Administrator</dc:creator>
  <cp:lastModifiedBy>Administrator</cp:lastModifiedBy>
  <dcterms:modified xsi:type="dcterms:W3CDTF">2025-07-21T00:46:22Z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33FB5C9F6A2243999E456A252083EC2F_11</vt:lpwstr>
  </property>
  <property fmtid="{D5CDD505-2E9C-101B-9397-08002B2CF9AE}" pid="4" name="KSOTemplateDocerSaveRecord">
    <vt:lpwstr>eyJoZGlkIjoiZDExOTE5NWRiMGY2YTU3YTkyMzZjZDVjMWNhNWU0Y2IifQ==</vt:lpwstr>
  </property>
</Properties>
</file>