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2861A">
      <w:pPr>
        <w:widowControl/>
        <w:kinsoku w:val="0"/>
        <w:autoSpaceDE w:val="0"/>
        <w:autoSpaceDN w:val="0"/>
        <w:adjustRightInd w:val="0"/>
        <w:snapToGrid w:val="0"/>
        <w:spacing w:before="151" w:beforeLines="25" w:after="151" w:afterLines="25" w:line="560" w:lineRule="exact"/>
        <w:ind w:firstLine="0" w:firstLineChars="0"/>
        <w:jc w:val="center"/>
        <w:textAlignment w:val="baseline"/>
        <w:rPr>
          <w:rFonts w:hint="default" w:ascii="Times New Roman" w:hAnsi="Times New Roman" w:eastAsia="方正小标宋_GBK" w:cs="Times New Roman"/>
          <w:b w:val="0"/>
          <w:snapToGrid w:val="0"/>
          <w:kern w:val="0"/>
          <w:sz w:val="44"/>
          <w:szCs w:val="44"/>
          <w:lang w:eastAsia="en-US"/>
        </w:rPr>
      </w:pPr>
      <w:r>
        <w:rPr>
          <w:rFonts w:hint="eastAsia" w:eastAsia="方正小标宋_GBK" w:cs="Times New Roman"/>
          <w:b w:val="0"/>
          <w:snapToGrid w:val="0"/>
          <w:kern w:val="0"/>
          <w:sz w:val="44"/>
          <w:szCs w:val="44"/>
          <w:lang w:val="en-US" w:eastAsia="zh-CN"/>
        </w:rPr>
        <w:t>沙洲街道</w:t>
      </w:r>
      <w:r>
        <w:rPr>
          <w:rFonts w:hint="default" w:ascii="Times New Roman" w:hAnsi="Times New Roman" w:eastAsia="方正小标宋_GBK" w:cs="Times New Roman"/>
          <w:b w:val="0"/>
          <w:snapToGrid w:val="0"/>
          <w:kern w:val="0"/>
          <w:sz w:val="44"/>
          <w:szCs w:val="44"/>
          <w:lang w:val="en-US" w:eastAsia="zh-CN"/>
        </w:rPr>
        <w:t>基层执法</w:t>
      </w:r>
      <w:r>
        <w:rPr>
          <w:rFonts w:hint="default" w:ascii="Times New Roman" w:hAnsi="Times New Roman" w:eastAsia="方正小标宋_GBK" w:cs="Times New Roman"/>
          <w:b w:val="0"/>
          <w:snapToGrid w:val="0"/>
          <w:kern w:val="0"/>
          <w:sz w:val="44"/>
          <w:szCs w:val="44"/>
          <w:lang w:eastAsia="en-US"/>
        </w:rPr>
        <w:t>权力事项目录</w:t>
      </w:r>
    </w:p>
    <w:p w14:paraId="10EF882C">
      <w:pPr>
        <w:widowControl/>
        <w:kinsoku w:val="0"/>
        <w:autoSpaceDE w:val="0"/>
        <w:autoSpaceDN w:val="0"/>
        <w:adjustRightInd w:val="0"/>
        <w:snapToGrid w:val="0"/>
        <w:spacing w:line="560" w:lineRule="exact"/>
        <w:ind w:firstLine="0" w:firstLineChars="0"/>
        <w:jc w:val="center"/>
        <w:textAlignment w:val="baseline"/>
        <w:rPr>
          <w:rFonts w:hint="default" w:ascii="Times New Roman" w:hAnsi="Times New Roman" w:eastAsia="方正小标宋_GBK" w:cs="Times New Roman"/>
          <w:b w:val="0"/>
          <w:snapToGrid w:val="0"/>
          <w:kern w:val="0"/>
          <w:sz w:val="30"/>
          <w:szCs w:val="30"/>
          <w:lang w:eastAsia="en-US" w:bidi="ar"/>
        </w:rPr>
      </w:pPr>
      <w:r>
        <w:rPr>
          <w:rFonts w:hint="default" w:ascii="Times New Roman" w:hAnsi="Times New Roman" w:eastAsia="方正楷体_GBK" w:cs="Times New Roman"/>
          <w:b w:val="0"/>
          <w:snapToGrid w:val="0"/>
          <w:kern w:val="0"/>
          <w:sz w:val="30"/>
          <w:szCs w:val="30"/>
          <w:lang w:eastAsia="en-US"/>
        </w:rPr>
        <w:t xml:space="preserve">                            </w:t>
      </w:r>
    </w:p>
    <w:tbl>
      <w:tblPr>
        <w:tblStyle w:val="3"/>
        <w:tblW w:w="13608" w:type="dxa"/>
        <w:jc w:val="center"/>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2603"/>
        <w:gridCol w:w="2940"/>
        <w:gridCol w:w="2235"/>
        <w:gridCol w:w="3780"/>
        <w:gridCol w:w="916"/>
      </w:tblGrid>
      <w:tr w14:paraId="561AB6D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51AABF9F">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序号</w:t>
            </w:r>
          </w:p>
        </w:tc>
        <w:tc>
          <w:tcPr>
            <w:tcW w:w="2603" w:type="dxa"/>
            <w:noWrap w:val="0"/>
            <w:vAlign w:val="center"/>
          </w:tcPr>
          <w:p w14:paraId="4634F7EB">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职权项目名称</w:t>
            </w:r>
          </w:p>
        </w:tc>
        <w:tc>
          <w:tcPr>
            <w:tcW w:w="2940" w:type="dxa"/>
            <w:noWrap w:val="0"/>
            <w:vAlign w:val="center"/>
          </w:tcPr>
          <w:p w14:paraId="01D94C0C">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工作内容</w:t>
            </w:r>
          </w:p>
        </w:tc>
        <w:tc>
          <w:tcPr>
            <w:tcW w:w="2235" w:type="dxa"/>
            <w:noWrap w:val="0"/>
            <w:vAlign w:val="center"/>
          </w:tcPr>
          <w:p w14:paraId="512F9B99">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工作主体</w:t>
            </w:r>
          </w:p>
        </w:tc>
        <w:tc>
          <w:tcPr>
            <w:tcW w:w="3780" w:type="dxa"/>
            <w:noWrap w:val="0"/>
            <w:vAlign w:val="center"/>
          </w:tcPr>
          <w:p w14:paraId="100D5327">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政策依据</w:t>
            </w:r>
          </w:p>
        </w:tc>
        <w:tc>
          <w:tcPr>
            <w:tcW w:w="916" w:type="dxa"/>
            <w:noWrap w:val="0"/>
            <w:vAlign w:val="center"/>
          </w:tcPr>
          <w:p w14:paraId="763F146F">
            <w:pPr>
              <w:widowControl/>
              <w:kinsoku w:val="0"/>
              <w:autoSpaceDE w:val="0"/>
              <w:autoSpaceDN w:val="0"/>
              <w:adjustRightInd w:val="0"/>
              <w:snapToGrid w:val="0"/>
              <w:spacing w:line="400" w:lineRule="exact"/>
              <w:ind w:firstLine="0" w:firstLineChars="0"/>
              <w:jc w:val="center"/>
              <w:textAlignment w:val="center"/>
              <w:rPr>
                <w:rFonts w:hint="default" w:ascii="Times New Roman" w:hAnsi="Times New Roman" w:eastAsia="方正黑体_GBK" w:cs="Times New Roman"/>
                <w:b w:val="0"/>
                <w:snapToGrid w:val="0"/>
                <w:kern w:val="0"/>
                <w:sz w:val="24"/>
                <w:szCs w:val="21"/>
                <w:lang w:eastAsia="en-US" w:bidi="ar"/>
              </w:rPr>
            </w:pPr>
            <w:r>
              <w:rPr>
                <w:rFonts w:hint="default" w:ascii="Times New Roman" w:hAnsi="Times New Roman" w:eastAsia="方正黑体_GBK" w:cs="Times New Roman"/>
                <w:b w:val="0"/>
                <w:snapToGrid w:val="0"/>
                <w:kern w:val="0"/>
                <w:sz w:val="24"/>
                <w:szCs w:val="21"/>
                <w:lang w:eastAsia="en-US" w:bidi="ar"/>
              </w:rPr>
              <w:t>备注</w:t>
            </w:r>
          </w:p>
        </w:tc>
      </w:tr>
      <w:tr w14:paraId="7A8B55CB">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2E099E8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en-US" w:bidi="ar"/>
              </w:rPr>
              <w:t>1</w:t>
            </w:r>
          </w:p>
        </w:tc>
        <w:tc>
          <w:tcPr>
            <w:tcW w:w="2603" w:type="dxa"/>
            <w:noWrap w:val="0"/>
            <w:vAlign w:val="center"/>
          </w:tcPr>
          <w:p w14:paraId="5BB94ED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对市容环卫责任人不履行市容环卫责任，未保持责任区内地面干净、立面整洁、设施完好的处罚</w:t>
            </w:r>
          </w:p>
        </w:tc>
        <w:tc>
          <w:tcPr>
            <w:tcW w:w="2940" w:type="dxa"/>
            <w:noWrap w:val="0"/>
            <w:vAlign w:val="center"/>
          </w:tcPr>
          <w:p w14:paraId="61F0E8E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市容环卫责任人</w:t>
            </w:r>
          </w:p>
          <w:p w14:paraId="5080644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是否履行市容环卫责任</w:t>
            </w:r>
          </w:p>
        </w:tc>
        <w:tc>
          <w:tcPr>
            <w:tcW w:w="2235" w:type="dxa"/>
            <w:noWrap w:val="0"/>
            <w:vAlign w:val="center"/>
          </w:tcPr>
          <w:p w14:paraId="7462227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3591A32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 xml:space="preserve">【行政法规】《城市市容和环境卫生管理条例》（国务院令1992年第101号）第二十三条、 第二十四条、第二十五条 、第二十六条、第二十七条；第三十四条第（五）项【省级地方性法规】《江苏省城市市容和环境卫生管理条例》第九条第二款；第六十二条。 </w:t>
            </w:r>
          </w:p>
        </w:tc>
        <w:tc>
          <w:tcPr>
            <w:tcW w:w="916" w:type="dxa"/>
            <w:noWrap w:val="0"/>
            <w:vAlign w:val="center"/>
          </w:tcPr>
          <w:p w14:paraId="1E0A36D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5B9B28B5">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1CA486B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en-US" w:bidi="ar"/>
              </w:rPr>
              <w:t>2</w:t>
            </w:r>
          </w:p>
        </w:tc>
        <w:tc>
          <w:tcPr>
            <w:tcW w:w="2603" w:type="dxa"/>
            <w:noWrap w:val="0"/>
            <w:vAlign w:val="center"/>
          </w:tcPr>
          <w:p w14:paraId="5060C10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对擅自在街道两侧和公共场地搭建临时性建（构）筑物或者其他设施的处罚</w:t>
            </w:r>
          </w:p>
        </w:tc>
        <w:tc>
          <w:tcPr>
            <w:tcW w:w="2940" w:type="dxa"/>
            <w:noWrap w:val="0"/>
            <w:vAlign w:val="center"/>
          </w:tcPr>
          <w:p w14:paraId="03FBBA0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搭建临时建筑物的处罚</w:t>
            </w:r>
          </w:p>
        </w:tc>
        <w:tc>
          <w:tcPr>
            <w:tcW w:w="2235" w:type="dxa"/>
            <w:noWrap w:val="0"/>
            <w:vAlign w:val="center"/>
          </w:tcPr>
          <w:p w14:paraId="154F572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0FAFAA1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【行政法规】《城市市容和环境卫生管理条例》（国务院令1992年第101号）第十四条；第三十六条第（二）项</w:t>
            </w:r>
            <w:r>
              <w:rPr>
                <w:rFonts w:hint="eastAsia" w:ascii="宋体" w:hAnsi="宋体" w:eastAsia="宋体" w:cs="宋体"/>
                <w:b w:val="0"/>
                <w:bCs/>
                <w:i w:val="0"/>
                <w:iCs w:val="0"/>
                <w:color w:val="000000"/>
                <w:kern w:val="0"/>
                <w:sz w:val="21"/>
                <w:szCs w:val="21"/>
                <w:u w:val="none"/>
                <w:lang w:val="en-US" w:eastAsia="zh-CN" w:bidi="ar"/>
              </w:rPr>
              <w:br w:type="textWrapping"/>
            </w: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【省级地方性法规】《江苏省城市市容和环境卫生管理条例》第十八条；  第六十三条第（四）项。</w:t>
            </w:r>
          </w:p>
        </w:tc>
        <w:tc>
          <w:tcPr>
            <w:tcW w:w="916" w:type="dxa"/>
            <w:noWrap w:val="0"/>
            <w:vAlign w:val="center"/>
          </w:tcPr>
          <w:p w14:paraId="1C29D56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7246FCC">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2ACAB18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en-US" w:bidi="ar"/>
              </w:rPr>
              <w:t>3</w:t>
            </w:r>
          </w:p>
        </w:tc>
        <w:tc>
          <w:tcPr>
            <w:tcW w:w="2603" w:type="dxa"/>
            <w:noWrap w:val="0"/>
            <w:vAlign w:val="center"/>
          </w:tcPr>
          <w:p w14:paraId="4548A5B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对擅自在街道两侧和公共场地堆放物料的处罚</w:t>
            </w:r>
          </w:p>
        </w:tc>
        <w:tc>
          <w:tcPr>
            <w:tcW w:w="2940" w:type="dxa"/>
            <w:noWrap w:val="0"/>
            <w:vAlign w:val="center"/>
          </w:tcPr>
          <w:p w14:paraId="1A28B90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公共场地堆放物料</w:t>
            </w:r>
          </w:p>
        </w:tc>
        <w:tc>
          <w:tcPr>
            <w:tcW w:w="2235" w:type="dxa"/>
            <w:noWrap w:val="0"/>
            <w:vAlign w:val="center"/>
          </w:tcPr>
          <w:p w14:paraId="089AA41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7609B48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《【行政法规】《城市市容和环境卫生管理条例》（国务院令1992年第101号）第三十六条　　</w:t>
            </w:r>
            <w:r>
              <w:rPr>
                <w:rFonts w:hint="eastAsia" w:ascii="宋体" w:hAnsi="宋体" w:eastAsia="宋体" w:cs="宋体"/>
                <w:b w:val="0"/>
                <w:bCs/>
                <w:i w:val="0"/>
                <w:iCs w:val="0"/>
                <w:color w:val="000000"/>
                <w:kern w:val="0"/>
                <w:sz w:val="21"/>
                <w:szCs w:val="21"/>
                <w:u w:val="none"/>
                <w:lang w:val="en-US" w:eastAsia="zh-CN" w:bidi="ar"/>
              </w:rPr>
              <w:br w:type="textWrapping"/>
            </w:r>
            <w:r>
              <w:rPr>
                <w:rFonts w:hint="eastAsia" w:ascii="宋体" w:hAnsi="宋体" w:eastAsia="宋体" w:cs="宋体"/>
                <w:b w:val="0"/>
                <w:bCs/>
                <w:i w:val="0"/>
                <w:iCs w:val="0"/>
                <w:color w:val="000000"/>
                <w:kern w:val="0"/>
                <w:sz w:val="21"/>
                <w:szCs w:val="21"/>
                <w:u w:val="none"/>
                <w:lang w:val="en-US" w:eastAsia="zh-CN" w:bidi="ar"/>
              </w:rPr>
              <w:t>第（二）项</w:t>
            </w:r>
          </w:p>
          <w:p w14:paraId="1D618EC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【省级地方性法规】《江苏省城市市容和环境卫生管理条例》第十八条；第六十三条第（三）项。</w:t>
            </w:r>
          </w:p>
        </w:tc>
        <w:tc>
          <w:tcPr>
            <w:tcW w:w="916" w:type="dxa"/>
            <w:noWrap w:val="0"/>
            <w:vAlign w:val="center"/>
          </w:tcPr>
          <w:p w14:paraId="481996F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7F9AC853">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5239CE4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4</w:t>
            </w:r>
          </w:p>
        </w:tc>
        <w:tc>
          <w:tcPr>
            <w:tcW w:w="2603" w:type="dxa"/>
            <w:noWrap w:val="0"/>
            <w:vAlign w:val="center"/>
          </w:tcPr>
          <w:p w14:paraId="1C4D001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对擅自超出门窗、外墙进行店外占道经营、作业或者展示商品的处罚</w:t>
            </w:r>
          </w:p>
        </w:tc>
        <w:tc>
          <w:tcPr>
            <w:tcW w:w="2940" w:type="dxa"/>
            <w:noWrap w:val="0"/>
            <w:vAlign w:val="center"/>
          </w:tcPr>
          <w:p w14:paraId="5A2D364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倚门出摊的管理和处罚</w:t>
            </w:r>
          </w:p>
        </w:tc>
        <w:tc>
          <w:tcPr>
            <w:tcW w:w="2235" w:type="dxa"/>
            <w:noWrap w:val="0"/>
            <w:vAlign w:val="center"/>
          </w:tcPr>
          <w:p w14:paraId="16B2633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7B92D59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 xml:space="preserve"> 【省级地方性法规】《江苏省城市市容和环境卫生管理条例》第二十条；第六十三条（七）项。</w:t>
            </w:r>
          </w:p>
        </w:tc>
        <w:tc>
          <w:tcPr>
            <w:tcW w:w="916" w:type="dxa"/>
            <w:noWrap w:val="0"/>
            <w:vAlign w:val="center"/>
          </w:tcPr>
          <w:p w14:paraId="4A2094D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6AEDE39D">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4" w:type="dxa"/>
            <w:noWrap w:val="0"/>
            <w:vAlign w:val="center"/>
          </w:tcPr>
          <w:p w14:paraId="233A333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5</w:t>
            </w:r>
          </w:p>
        </w:tc>
        <w:tc>
          <w:tcPr>
            <w:tcW w:w="2603" w:type="dxa"/>
            <w:noWrap w:val="0"/>
            <w:vAlign w:val="center"/>
          </w:tcPr>
          <w:p w14:paraId="5ABFF73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对擅自占用道路、公共广场、人行过街桥、人行地下通道以及其他公共场地摆摊设点，或者擅自占用道路在货运车辆上兜售物品的处罚</w:t>
            </w:r>
          </w:p>
        </w:tc>
        <w:tc>
          <w:tcPr>
            <w:tcW w:w="2940" w:type="dxa"/>
            <w:noWrap w:val="0"/>
            <w:vAlign w:val="center"/>
          </w:tcPr>
          <w:p w14:paraId="6F52722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占道经营的管理和处罚</w:t>
            </w:r>
          </w:p>
        </w:tc>
        <w:tc>
          <w:tcPr>
            <w:tcW w:w="2235" w:type="dxa"/>
            <w:noWrap w:val="0"/>
            <w:vAlign w:val="center"/>
          </w:tcPr>
          <w:p w14:paraId="33B8B64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0C93D91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 xml:space="preserve">【省级地方性法规】《江苏省城市市容和环境卫生管理条例》第十九条第一款；第六十三条第（六）项。 </w:t>
            </w:r>
          </w:p>
        </w:tc>
        <w:tc>
          <w:tcPr>
            <w:tcW w:w="916" w:type="dxa"/>
            <w:noWrap w:val="0"/>
            <w:vAlign w:val="center"/>
          </w:tcPr>
          <w:p w14:paraId="553E052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5842B8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5272189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6</w:t>
            </w:r>
          </w:p>
        </w:tc>
        <w:tc>
          <w:tcPr>
            <w:tcW w:w="2603" w:type="dxa"/>
            <w:noWrap w:val="0"/>
            <w:vAlign w:val="center"/>
          </w:tcPr>
          <w:p w14:paraId="21FD9F9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对随地吐痰、便溺，乱扔果皮、纸屑、烟头、口香糖、饮料罐、塑料袋等，乱倒污水、粪便，或者乱弃动物尸体的处罚</w:t>
            </w:r>
          </w:p>
        </w:tc>
        <w:tc>
          <w:tcPr>
            <w:tcW w:w="2940" w:type="dxa"/>
            <w:noWrap w:val="0"/>
            <w:vAlign w:val="center"/>
          </w:tcPr>
          <w:p w14:paraId="2D70491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乱扔垃圾、废弃物，</w:t>
            </w:r>
          </w:p>
          <w:p w14:paraId="3B2C1A8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乱倒污水等的处罚</w:t>
            </w:r>
          </w:p>
        </w:tc>
        <w:tc>
          <w:tcPr>
            <w:tcW w:w="2235" w:type="dxa"/>
            <w:noWrap w:val="0"/>
            <w:vAlign w:val="center"/>
          </w:tcPr>
          <w:p w14:paraId="228B413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204B71D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《江苏省城市市容和环境卫生管理条例》第三十六条第（一）、（二）、（三）、</w:t>
            </w:r>
            <w:r>
              <w:rPr>
                <w:rFonts w:hint="eastAsia" w:ascii="宋体" w:hAnsi="宋体" w:eastAsia="宋体" w:cs="宋体"/>
                <w:b w:val="0"/>
                <w:bCs/>
                <w:i w:val="0"/>
                <w:iCs w:val="0"/>
                <w:color w:val="000000"/>
                <w:kern w:val="0"/>
                <w:sz w:val="21"/>
                <w:szCs w:val="21"/>
                <w:u w:val="none"/>
                <w:lang w:val="en-US" w:eastAsia="zh-CN" w:bidi="ar"/>
              </w:rPr>
              <w:br w:type="textWrapping"/>
            </w:r>
            <w:r>
              <w:rPr>
                <w:rFonts w:hint="eastAsia" w:ascii="宋体" w:hAnsi="宋体" w:eastAsia="宋体" w:cs="宋体"/>
                <w:b w:val="0"/>
                <w:bCs/>
                <w:i w:val="0"/>
                <w:iCs w:val="0"/>
                <w:color w:val="000000"/>
                <w:kern w:val="0"/>
                <w:sz w:val="21"/>
                <w:szCs w:val="21"/>
                <w:u w:val="none"/>
                <w:lang w:val="en-US" w:eastAsia="zh-CN" w:bidi="ar"/>
              </w:rPr>
              <w:t xml:space="preserve">（四）项；第六十四条第（七）项。 </w:t>
            </w:r>
          </w:p>
        </w:tc>
        <w:tc>
          <w:tcPr>
            <w:tcW w:w="916" w:type="dxa"/>
            <w:noWrap w:val="0"/>
            <w:vAlign w:val="center"/>
          </w:tcPr>
          <w:p w14:paraId="2F66F13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63817F2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134" w:type="dxa"/>
            <w:noWrap w:val="0"/>
            <w:vAlign w:val="center"/>
          </w:tcPr>
          <w:p w14:paraId="433DCBE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7</w:t>
            </w:r>
          </w:p>
        </w:tc>
        <w:tc>
          <w:tcPr>
            <w:tcW w:w="2603" w:type="dxa"/>
            <w:noWrap w:val="0"/>
            <w:vAlign w:val="center"/>
          </w:tcPr>
          <w:p w14:paraId="11770DD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对从事车辆清洗、修理以及废品收购、废弃物接纳未保持经营场所和周围环境卫生整洁的处罚</w:t>
            </w:r>
          </w:p>
        </w:tc>
        <w:tc>
          <w:tcPr>
            <w:tcW w:w="2940" w:type="dxa"/>
            <w:noWrap w:val="0"/>
            <w:vAlign w:val="center"/>
          </w:tcPr>
          <w:p w14:paraId="3AF53A3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车辆清洗、修理，</w:t>
            </w:r>
          </w:p>
          <w:p w14:paraId="5EE42C7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收旧店家环境卫生管理</w:t>
            </w:r>
          </w:p>
        </w:tc>
        <w:tc>
          <w:tcPr>
            <w:tcW w:w="2235" w:type="dxa"/>
            <w:noWrap w:val="0"/>
            <w:vAlign w:val="center"/>
          </w:tcPr>
          <w:p w14:paraId="396EF52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2698C20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【省级地方性法规】《江苏省城市市容和环境卫生管理条例》第三十二条；第六十四条第（五）项。</w:t>
            </w:r>
          </w:p>
        </w:tc>
        <w:tc>
          <w:tcPr>
            <w:tcW w:w="916" w:type="dxa"/>
            <w:noWrap w:val="0"/>
            <w:vAlign w:val="center"/>
          </w:tcPr>
          <w:p w14:paraId="5146369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78BA15B2">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454A705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8</w:t>
            </w:r>
          </w:p>
        </w:tc>
        <w:tc>
          <w:tcPr>
            <w:tcW w:w="2603" w:type="dxa"/>
            <w:noWrap w:val="0"/>
            <w:vAlign w:val="center"/>
          </w:tcPr>
          <w:p w14:paraId="295BC71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对在城市建成区露天焚烧落叶的处罚</w:t>
            </w:r>
          </w:p>
        </w:tc>
        <w:tc>
          <w:tcPr>
            <w:tcW w:w="2940" w:type="dxa"/>
            <w:noWrap w:val="0"/>
            <w:vAlign w:val="center"/>
          </w:tcPr>
          <w:p w14:paraId="08B5373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焚烧落叶</w:t>
            </w:r>
          </w:p>
        </w:tc>
        <w:tc>
          <w:tcPr>
            <w:tcW w:w="2235" w:type="dxa"/>
            <w:noWrap w:val="0"/>
            <w:vAlign w:val="center"/>
          </w:tcPr>
          <w:p w14:paraId="7C6B56E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38BF203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 xml:space="preserve">【法律】《中华人民共和国大气污染防治法》    第七十七条；第一百一十九条。 </w:t>
            </w:r>
          </w:p>
          <w:p w14:paraId="2C651BA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【地方性法规】《江苏省大气污染防治条例</w:t>
            </w:r>
            <w:r>
              <w:rPr>
                <w:rFonts w:hint="eastAsia" w:ascii="宋体" w:hAnsi="宋体" w:eastAsia="宋体" w:cs="宋体"/>
                <w:b w:val="0"/>
                <w:bCs/>
                <w:i w:val="0"/>
                <w:iCs w:val="0"/>
                <w:color w:val="000000"/>
                <w:kern w:val="0"/>
                <w:sz w:val="21"/>
                <w:szCs w:val="21"/>
                <w:u w:val="none"/>
                <w:lang w:val="en-US" w:eastAsia="zh-CN" w:bidi="ar"/>
              </w:rPr>
              <w:br w:type="textWrapping"/>
            </w:r>
            <w:r>
              <w:rPr>
                <w:rFonts w:hint="eastAsia" w:ascii="宋体" w:hAnsi="宋体" w:eastAsia="宋体" w:cs="宋体"/>
                <w:b w:val="0"/>
                <w:bCs/>
                <w:i w:val="0"/>
                <w:iCs w:val="0"/>
                <w:color w:val="000000"/>
                <w:kern w:val="0"/>
                <w:sz w:val="21"/>
                <w:szCs w:val="21"/>
                <w:u w:val="none"/>
                <w:lang w:val="en-US" w:eastAsia="zh-CN" w:bidi="ar"/>
              </w:rPr>
              <w:t xml:space="preserve"> 第六十六条第二款；第九十九条第三款 </w:t>
            </w:r>
          </w:p>
        </w:tc>
        <w:tc>
          <w:tcPr>
            <w:tcW w:w="916" w:type="dxa"/>
            <w:noWrap w:val="0"/>
            <w:vAlign w:val="center"/>
          </w:tcPr>
          <w:p w14:paraId="48878BA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6D822D42">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54D22D9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9</w:t>
            </w:r>
          </w:p>
        </w:tc>
        <w:tc>
          <w:tcPr>
            <w:tcW w:w="2603" w:type="dxa"/>
            <w:noWrap w:val="0"/>
            <w:vAlign w:val="center"/>
          </w:tcPr>
          <w:p w14:paraId="5F1F3B6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对饲养宠物、信鸽或者投喂犬、猫等动物，未保持环境整洁的处罚</w:t>
            </w:r>
          </w:p>
        </w:tc>
        <w:tc>
          <w:tcPr>
            <w:tcW w:w="2940" w:type="dxa"/>
            <w:noWrap w:val="0"/>
            <w:vAlign w:val="center"/>
          </w:tcPr>
          <w:p w14:paraId="2E9FEF0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饲养宠物、信鸽等影响环境整洁</w:t>
            </w:r>
          </w:p>
        </w:tc>
        <w:tc>
          <w:tcPr>
            <w:tcW w:w="2235" w:type="dxa"/>
            <w:noWrap w:val="0"/>
            <w:vAlign w:val="center"/>
          </w:tcPr>
          <w:p w14:paraId="3738B10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5F4FE17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【行政法规】《城市市容和环境卫生管理条例》（国务院令1992年第101号）第三十三条；　第三十五条。　</w:t>
            </w:r>
            <w:r>
              <w:rPr>
                <w:rFonts w:hint="eastAsia" w:ascii="宋体" w:hAnsi="宋体" w:eastAsia="宋体" w:cs="宋体"/>
                <w:b w:val="0"/>
                <w:bCs/>
                <w:i w:val="0"/>
                <w:iCs w:val="0"/>
                <w:color w:val="000000"/>
                <w:kern w:val="0"/>
                <w:sz w:val="21"/>
                <w:szCs w:val="21"/>
                <w:u w:val="none"/>
                <w:lang w:val="en-US" w:eastAsia="zh-CN" w:bidi="ar"/>
              </w:rPr>
              <w:br w:type="textWrapping"/>
            </w: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【省级地方性法规】《江苏省城市市容和环境卫生管理条例》第三十五条 第一款；第六十四条第（六）项。</w:t>
            </w:r>
          </w:p>
        </w:tc>
        <w:tc>
          <w:tcPr>
            <w:tcW w:w="916" w:type="dxa"/>
            <w:noWrap w:val="0"/>
            <w:vAlign w:val="center"/>
          </w:tcPr>
          <w:p w14:paraId="05DA943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43DA13AC">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0A931C4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10</w:t>
            </w:r>
          </w:p>
        </w:tc>
        <w:tc>
          <w:tcPr>
            <w:tcW w:w="2603" w:type="dxa"/>
            <w:noWrap w:val="0"/>
            <w:vAlign w:val="center"/>
          </w:tcPr>
          <w:p w14:paraId="1119CE9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对擅自占用道路、公共广场、人行过街桥、人行地下通道以及其他公共场地摆摊设点，或者擅自占用道路在货运车辆上兜售物品的暂扣</w:t>
            </w:r>
          </w:p>
        </w:tc>
        <w:tc>
          <w:tcPr>
            <w:tcW w:w="2940" w:type="dxa"/>
            <w:noWrap w:val="0"/>
            <w:vAlign w:val="center"/>
          </w:tcPr>
          <w:p w14:paraId="5076800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占道经暂扣物品</w:t>
            </w:r>
          </w:p>
        </w:tc>
        <w:tc>
          <w:tcPr>
            <w:tcW w:w="2235" w:type="dxa"/>
            <w:noWrap w:val="0"/>
            <w:vAlign w:val="center"/>
          </w:tcPr>
          <w:p w14:paraId="7AADBA9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050AA71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 xml:space="preserve">【省级地方性法规】《江苏省城市市容和环境卫生管理条例》第十九条第一款；第六十三条 第（六）项。 </w:t>
            </w:r>
          </w:p>
        </w:tc>
        <w:tc>
          <w:tcPr>
            <w:tcW w:w="916" w:type="dxa"/>
            <w:noWrap w:val="0"/>
            <w:vAlign w:val="center"/>
          </w:tcPr>
          <w:p w14:paraId="1225D1F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行政强制</w:t>
            </w:r>
          </w:p>
        </w:tc>
      </w:tr>
      <w:tr w14:paraId="7BEB248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451468F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11</w:t>
            </w:r>
          </w:p>
        </w:tc>
        <w:tc>
          <w:tcPr>
            <w:tcW w:w="2603" w:type="dxa"/>
            <w:noWrap w:val="0"/>
            <w:vAlign w:val="center"/>
          </w:tcPr>
          <w:p w14:paraId="02844C3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对未按照有关规定和标准配套建设环境卫生设施的处罚</w:t>
            </w:r>
          </w:p>
        </w:tc>
        <w:tc>
          <w:tcPr>
            <w:tcW w:w="2940" w:type="dxa"/>
            <w:noWrap w:val="0"/>
            <w:vAlign w:val="center"/>
          </w:tcPr>
          <w:p w14:paraId="5DD5146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未按要求配建环卫设施的处罚</w:t>
            </w:r>
          </w:p>
        </w:tc>
        <w:tc>
          <w:tcPr>
            <w:tcW w:w="2235" w:type="dxa"/>
            <w:noWrap w:val="0"/>
            <w:vAlign w:val="center"/>
          </w:tcPr>
          <w:p w14:paraId="2196A88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3BDB6A9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【省级地方性法规】《江苏省城市市容和环境卫生管理条例》第二十八条第一款、第三十一条；第六十四条第（一）项。</w:t>
            </w:r>
          </w:p>
        </w:tc>
        <w:tc>
          <w:tcPr>
            <w:tcW w:w="916" w:type="dxa"/>
            <w:noWrap w:val="0"/>
            <w:vAlign w:val="center"/>
          </w:tcPr>
          <w:p w14:paraId="2298EE0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59F76E8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05D23F2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12</w:t>
            </w:r>
          </w:p>
        </w:tc>
        <w:tc>
          <w:tcPr>
            <w:tcW w:w="2603" w:type="dxa"/>
            <w:noWrap w:val="0"/>
            <w:vAlign w:val="center"/>
          </w:tcPr>
          <w:p w14:paraId="716F752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对未按照要求设置生活垃圾分类收集设施设备的处罚</w:t>
            </w:r>
          </w:p>
        </w:tc>
        <w:tc>
          <w:tcPr>
            <w:tcW w:w="2940" w:type="dxa"/>
            <w:noWrap w:val="0"/>
            <w:vAlign w:val="center"/>
          </w:tcPr>
          <w:p w14:paraId="1A4F81A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垃圾分类收集容器及标识的管理</w:t>
            </w:r>
          </w:p>
        </w:tc>
        <w:tc>
          <w:tcPr>
            <w:tcW w:w="2235" w:type="dxa"/>
            <w:noWrap w:val="0"/>
            <w:vAlign w:val="center"/>
          </w:tcPr>
          <w:p w14:paraId="279B976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1C9C2CB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【省级地方性法规】《江苏省城市市容和环境卫生管理条例》第四十条；第六十五条第（一）项。</w:t>
            </w:r>
          </w:p>
        </w:tc>
        <w:tc>
          <w:tcPr>
            <w:tcW w:w="916" w:type="dxa"/>
            <w:noWrap w:val="0"/>
            <w:vAlign w:val="center"/>
          </w:tcPr>
          <w:p w14:paraId="3F277F1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900CB7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134" w:type="dxa"/>
            <w:noWrap w:val="0"/>
            <w:vAlign w:val="center"/>
          </w:tcPr>
          <w:p w14:paraId="1F1D81E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13</w:t>
            </w:r>
          </w:p>
        </w:tc>
        <w:tc>
          <w:tcPr>
            <w:tcW w:w="2603" w:type="dxa"/>
            <w:noWrap w:val="0"/>
            <w:vAlign w:val="center"/>
          </w:tcPr>
          <w:p w14:paraId="52AA233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对未经城市人民政府市容环境卫生行政主管部门同意，擅自设置大型户外广告，影响市容的处罚</w:t>
            </w:r>
          </w:p>
        </w:tc>
        <w:tc>
          <w:tcPr>
            <w:tcW w:w="2940" w:type="dxa"/>
            <w:noWrap w:val="0"/>
            <w:vAlign w:val="center"/>
          </w:tcPr>
          <w:p w14:paraId="0550F09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未经批准设置大型户外广告</w:t>
            </w:r>
          </w:p>
        </w:tc>
        <w:tc>
          <w:tcPr>
            <w:tcW w:w="2235" w:type="dxa"/>
            <w:noWrap w:val="0"/>
            <w:vAlign w:val="center"/>
          </w:tcPr>
          <w:p w14:paraId="1BBCA95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2ED1AFD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【行政法规】《城市市容和环境卫生管理条例》（国务院令第101号）第十一条第二款；第三十六条第（一）项。</w:t>
            </w:r>
          </w:p>
        </w:tc>
        <w:tc>
          <w:tcPr>
            <w:tcW w:w="916" w:type="dxa"/>
            <w:noWrap w:val="0"/>
            <w:vAlign w:val="center"/>
          </w:tcPr>
          <w:p w14:paraId="109FACC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0E565C6">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134" w:type="dxa"/>
            <w:noWrap w:val="0"/>
            <w:vAlign w:val="center"/>
          </w:tcPr>
          <w:p w14:paraId="49336D6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14</w:t>
            </w:r>
          </w:p>
        </w:tc>
        <w:tc>
          <w:tcPr>
            <w:tcW w:w="2603" w:type="dxa"/>
            <w:noWrap w:val="0"/>
            <w:vAlign w:val="center"/>
          </w:tcPr>
          <w:p w14:paraId="44FD81E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对未及时修复残损的户外广告设施的处罚</w:t>
            </w:r>
          </w:p>
        </w:tc>
        <w:tc>
          <w:tcPr>
            <w:tcW w:w="2940" w:type="dxa"/>
            <w:noWrap w:val="0"/>
            <w:vAlign w:val="center"/>
          </w:tcPr>
          <w:p w14:paraId="5D6C3E6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未及时修复残</w:t>
            </w:r>
          </w:p>
          <w:p w14:paraId="5394922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损户外广告设施的处罚</w:t>
            </w:r>
          </w:p>
        </w:tc>
        <w:tc>
          <w:tcPr>
            <w:tcW w:w="2235" w:type="dxa"/>
            <w:noWrap w:val="0"/>
            <w:vAlign w:val="center"/>
          </w:tcPr>
          <w:p w14:paraId="6543056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4507951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 xml:space="preserve">【省级地方性法规】《江苏省广告条例》第三十一条；第五十八条。  </w:t>
            </w:r>
          </w:p>
        </w:tc>
        <w:tc>
          <w:tcPr>
            <w:tcW w:w="916" w:type="dxa"/>
            <w:noWrap w:val="0"/>
            <w:vAlign w:val="center"/>
          </w:tcPr>
          <w:p w14:paraId="7680808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3E693BC">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07985B3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15</w:t>
            </w:r>
          </w:p>
        </w:tc>
        <w:tc>
          <w:tcPr>
            <w:tcW w:w="2603" w:type="dxa"/>
            <w:noWrap w:val="0"/>
            <w:vAlign w:val="center"/>
          </w:tcPr>
          <w:p w14:paraId="7D69C72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对不按设置规划设置户外广告设施的处罚</w:t>
            </w:r>
          </w:p>
        </w:tc>
        <w:tc>
          <w:tcPr>
            <w:tcW w:w="2940" w:type="dxa"/>
            <w:noWrap w:val="0"/>
            <w:vAlign w:val="center"/>
          </w:tcPr>
          <w:p w14:paraId="1DCD61C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不按设置规划设置</w:t>
            </w:r>
          </w:p>
          <w:p w14:paraId="4B948B1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户外广告设施的处罚</w:t>
            </w:r>
          </w:p>
        </w:tc>
        <w:tc>
          <w:tcPr>
            <w:tcW w:w="2235" w:type="dxa"/>
            <w:noWrap w:val="0"/>
            <w:vAlign w:val="center"/>
          </w:tcPr>
          <w:p w14:paraId="691E5E1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noWrap w:val="0"/>
            <w:vAlign w:val="center"/>
          </w:tcPr>
          <w:p w14:paraId="20BC650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【省级地方性法规】《江苏省广告条例》第三十条第一款、第二款；第五十七条。</w:t>
            </w:r>
          </w:p>
        </w:tc>
        <w:tc>
          <w:tcPr>
            <w:tcW w:w="916" w:type="dxa"/>
            <w:noWrap w:val="0"/>
            <w:vAlign w:val="center"/>
          </w:tcPr>
          <w:p w14:paraId="6DCA72F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4D14525C">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noWrap w:val="0"/>
            <w:vAlign w:val="center"/>
          </w:tcPr>
          <w:p w14:paraId="1289913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16</w:t>
            </w:r>
          </w:p>
        </w:tc>
        <w:tc>
          <w:tcPr>
            <w:tcW w:w="2603" w:type="dxa"/>
            <w:shd w:val="clear" w:color="auto" w:fill="auto"/>
            <w:noWrap w:val="0"/>
            <w:vAlign w:val="center"/>
          </w:tcPr>
          <w:p w14:paraId="75EFA6D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对不按设置规划设置户外广告设施的依法拆除</w:t>
            </w:r>
          </w:p>
        </w:tc>
        <w:tc>
          <w:tcPr>
            <w:tcW w:w="2940" w:type="dxa"/>
            <w:noWrap w:val="0"/>
            <w:vAlign w:val="center"/>
          </w:tcPr>
          <w:p w14:paraId="792B74E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不按设置规划设置</w:t>
            </w:r>
          </w:p>
          <w:p w14:paraId="49060CE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户外广告设施的依法拆除</w:t>
            </w:r>
          </w:p>
        </w:tc>
        <w:tc>
          <w:tcPr>
            <w:tcW w:w="2235" w:type="dxa"/>
            <w:noWrap w:val="0"/>
            <w:vAlign w:val="center"/>
          </w:tcPr>
          <w:p w14:paraId="2E1E535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城市治理办公室、城市管理中队</w:t>
            </w:r>
          </w:p>
        </w:tc>
        <w:tc>
          <w:tcPr>
            <w:tcW w:w="3780" w:type="dxa"/>
            <w:shd w:val="clear" w:color="auto" w:fill="auto"/>
            <w:noWrap w:val="0"/>
            <w:vAlign w:val="center"/>
          </w:tcPr>
          <w:p w14:paraId="3923929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 xml:space="preserve">【省级地方性法规】《江苏省广告条例》第三十条第一款、第二款；第五十七条。  </w:t>
            </w:r>
          </w:p>
        </w:tc>
        <w:tc>
          <w:tcPr>
            <w:tcW w:w="916" w:type="dxa"/>
            <w:noWrap w:val="0"/>
            <w:vAlign w:val="center"/>
          </w:tcPr>
          <w:p w14:paraId="3413BC8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r>
              <w:rPr>
                <w:rFonts w:hint="eastAsia" w:ascii="宋体" w:hAnsi="宋体" w:eastAsia="宋体" w:cs="宋体"/>
                <w:b w:val="0"/>
                <w:bCs/>
                <w:i w:val="0"/>
                <w:iCs w:val="0"/>
                <w:color w:val="000000"/>
                <w:kern w:val="0"/>
                <w:sz w:val="21"/>
                <w:szCs w:val="21"/>
                <w:u w:val="none"/>
                <w:lang w:val="en-US" w:eastAsia="zh-CN" w:bidi="ar"/>
              </w:rPr>
              <w:t>行政强制</w:t>
            </w:r>
          </w:p>
        </w:tc>
      </w:tr>
      <w:tr w14:paraId="6B69D4AE">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134" w:type="dxa"/>
            <w:shd w:val="clear" w:color="auto" w:fill="auto"/>
            <w:noWrap w:val="0"/>
            <w:vAlign w:val="center"/>
          </w:tcPr>
          <w:p w14:paraId="6E04683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17</w:t>
            </w:r>
          </w:p>
        </w:tc>
        <w:tc>
          <w:tcPr>
            <w:tcW w:w="2603" w:type="dxa"/>
            <w:shd w:val="clear" w:color="auto" w:fill="auto"/>
            <w:noWrap w:val="0"/>
            <w:vAlign w:val="center"/>
          </w:tcPr>
          <w:p w14:paraId="199A70E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2776778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对门窗上设置影响逃生、灭火救援的障碍物处罚</w:t>
            </w:r>
          </w:p>
        </w:tc>
        <w:tc>
          <w:tcPr>
            <w:tcW w:w="2235" w:type="dxa"/>
            <w:shd w:val="clear" w:color="auto" w:fill="auto"/>
            <w:noWrap w:val="0"/>
            <w:vAlign w:val="center"/>
          </w:tcPr>
          <w:p w14:paraId="6FE1E31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46D5340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《中华人民共和国消防法》第二十八条</w:t>
            </w:r>
          </w:p>
        </w:tc>
        <w:tc>
          <w:tcPr>
            <w:tcW w:w="916" w:type="dxa"/>
            <w:noWrap w:val="0"/>
            <w:vAlign w:val="center"/>
          </w:tcPr>
          <w:p w14:paraId="03AB939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585205E">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134" w:type="dxa"/>
            <w:shd w:val="clear" w:color="auto" w:fill="auto"/>
            <w:noWrap w:val="0"/>
            <w:vAlign w:val="center"/>
          </w:tcPr>
          <w:p w14:paraId="6262DD9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18</w:t>
            </w:r>
          </w:p>
        </w:tc>
        <w:tc>
          <w:tcPr>
            <w:tcW w:w="2603" w:type="dxa"/>
            <w:shd w:val="clear" w:color="auto" w:fill="auto"/>
            <w:noWrap w:val="0"/>
            <w:vAlign w:val="center"/>
          </w:tcPr>
          <w:p w14:paraId="14BEFD3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4F3D3E4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对占用、堵塞、封闭疏散通道、安全出口或者有其他妨碍安全疏散行为处罚</w:t>
            </w:r>
          </w:p>
        </w:tc>
        <w:tc>
          <w:tcPr>
            <w:tcW w:w="2235" w:type="dxa"/>
            <w:shd w:val="clear" w:color="auto" w:fill="auto"/>
            <w:noWrap w:val="0"/>
            <w:vAlign w:val="center"/>
          </w:tcPr>
          <w:p w14:paraId="3B94F0E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10183CF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《中华人民共和国消防法》第二十八条</w:t>
            </w:r>
          </w:p>
        </w:tc>
        <w:tc>
          <w:tcPr>
            <w:tcW w:w="916" w:type="dxa"/>
            <w:noWrap w:val="0"/>
            <w:vAlign w:val="center"/>
          </w:tcPr>
          <w:p w14:paraId="48ABE1E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50796E22">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134" w:type="dxa"/>
            <w:shd w:val="clear" w:color="auto" w:fill="auto"/>
            <w:noWrap w:val="0"/>
            <w:vAlign w:val="center"/>
          </w:tcPr>
          <w:p w14:paraId="08B250F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19</w:t>
            </w:r>
          </w:p>
        </w:tc>
        <w:tc>
          <w:tcPr>
            <w:tcW w:w="2603" w:type="dxa"/>
            <w:shd w:val="clear" w:color="auto" w:fill="auto"/>
            <w:noWrap w:val="0"/>
            <w:vAlign w:val="center"/>
          </w:tcPr>
          <w:p w14:paraId="0C7F93E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483ECB4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对占用、堵塞、封闭消防车通道，妨碍消防车通行的处罚</w:t>
            </w:r>
          </w:p>
        </w:tc>
        <w:tc>
          <w:tcPr>
            <w:tcW w:w="2235" w:type="dxa"/>
            <w:shd w:val="clear" w:color="auto" w:fill="auto"/>
            <w:noWrap w:val="0"/>
            <w:vAlign w:val="center"/>
          </w:tcPr>
          <w:p w14:paraId="4A348B9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2183171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《中华人民共和国消防法》第二十八条《中华人民共和国消防法》第二十八条</w:t>
            </w:r>
          </w:p>
        </w:tc>
        <w:tc>
          <w:tcPr>
            <w:tcW w:w="916" w:type="dxa"/>
            <w:noWrap w:val="0"/>
            <w:vAlign w:val="center"/>
          </w:tcPr>
          <w:p w14:paraId="243E619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19D7FCC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134" w:type="dxa"/>
            <w:shd w:val="clear" w:color="auto" w:fill="auto"/>
            <w:noWrap w:val="0"/>
            <w:vAlign w:val="center"/>
          </w:tcPr>
          <w:p w14:paraId="7715CC0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20</w:t>
            </w:r>
          </w:p>
        </w:tc>
        <w:tc>
          <w:tcPr>
            <w:tcW w:w="2603" w:type="dxa"/>
            <w:shd w:val="clear" w:color="auto" w:fill="auto"/>
            <w:noWrap w:val="0"/>
            <w:vAlign w:val="center"/>
          </w:tcPr>
          <w:p w14:paraId="2CFCC98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544C15E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对常闭式防火门不能保持常闭处罚</w:t>
            </w:r>
          </w:p>
        </w:tc>
        <w:tc>
          <w:tcPr>
            <w:tcW w:w="2235" w:type="dxa"/>
            <w:shd w:val="clear" w:color="auto" w:fill="auto"/>
            <w:noWrap w:val="0"/>
            <w:vAlign w:val="center"/>
          </w:tcPr>
          <w:p w14:paraId="68ABE58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17FAF15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《南京市消防条例》第三十六条第一款第三项</w:t>
            </w:r>
          </w:p>
        </w:tc>
        <w:tc>
          <w:tcPr>
            <w:tcW w:w="916" w:type="dxa"/>
            <w:noWrap w:val="0"/>
            <w:vAlign w:val="center"/>
          </w:tcPr>
          <w:p w14:paraId="6A746F6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0C7F560D">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134" w:type="dxa"/>
            <w:shd w:val="clear" w:color="auto" w:fill="auto"/>
            <w:noWrap w:val="0"/>
            <w:vAlign w:val="center"/>
          </w:tcPr>
          <w:p w14:paraId="02F4D2C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21</w:t>
            </w:r>
          </w:p>
        </w:tc>
        <w:tc>
          <w:tcPr>
            <w:tcW w:w="2603" w:type="dxa"/>
            <w:shd w:val="clear" w:color="auto" w:fill="auto"/>
            <w:noWrap w:val="0"/>
            <w:vAlign w:val="center"/>
          </w:tcPr>
          <w:p w14:paraId="0672E12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71128AE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对宾馆、饭店厨房油烟气管道未定期清洗处罚</w:t>
            </w:r>
          </w:p>
        </w:tc>
        <w:tc>
          <w:tcPr>
            <w:tcW w:w="2235" w:type="dxa"/>
            <w:shd w:val="clear" w:color="auto" w:fill="auto"/>
            <w:noWrap w:val="0"/>
            <w:vAlign w:val="center"/>
          </w:tcPr>
          <w:p w14:paraId="599BC9F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2ED3E46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《南京市消防条例》第三十六条第四款</w:t>
            </w:r>
          </w:p>
        </w:tc>
        <w:tc>
          <w:tcPr>
            <w:tcW w:w="916" w:type="dxa"/>
            <w:noWrap w:val="0"/>
            <w:vAlign w:val="center"/>
          </w:tcPr>
          <w:p w14:paraId="201C811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07D4946F">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shd w:val="clear" w:color="auto" w:fill="auto"/>
            <w:noWrap w:val="0"/>
            <w:vAlign w:val="center"/>
          </w:tcPr>
          <w:p w14:paraId="34FAB14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22</w:t>
            </w:r>
          </w:p>
        </w:tc>
        <w:tc>
          <w:tcPr>
            <w:tcW w:w="2603" w:type="dxa"/>
            <w:shd w:val="clear" w:color="auto" w:fill="auto"/>
            <w:noWrap w:val="0"/>
            <w:vAlign w:val="center"/>
          </w:tcPr>
          <w:p w14:paraId="798B736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19B12A5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对生产、储存、经营其他场所与居住场所设置在同一建筑物内不符合消防技术标准处罚</w:t>
            </w:r>
          </w:p>
        </w:tc>
        <w:tc>
          <w:tcPr>
            <w:tcW w:w="2235" w:type="dxa"/>
            <w:shd w:val="clear" w:color="auto" w:fill="auto"/>
            <w:noWrap w:val="0"/>
            <w:vAlign w:val="center"/>
          </w:tcPr>
          <w:p w14:paraId="567E8B8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25A58FB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《中华人民共和国消防法》第十九条第二款</w:t>
            </w:r>
          </w:p>
        </w:tc>
        <w:tc>
          <w:tcPr>
            <w:tcW w:w="916" w:type="dxa"/>
            <w:noWrap w:val="0"/>
            <w:vAlign w:val="center"/>
          </w:tcPr>
          <w:p w14:paraId="48BB721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09B5CAF4">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134" w:type="dxa"/>
            <w:shd w:val="clear" w:color="auto" w:fill="auto"/>
            <w:noWrap w:val="0"/>
            <w:vAlign w:val="center"/>
          </w:tcPr>
          <w:p w14:paraId="4CD3C3F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23</w:t>
            </w:r>
          </w:p>
        </w:tc>
        <w:tc>
          <w:tcPr>
            <w:tcW w:w="2603" w:type="dxa"/>
            <w:shd w:val="clear" w:color="auto" w:fill="auto"/>
            <w:noWrap w:val="0"/>
            <w:vAlign w:val="center"/>
          </w:tcPr>
          <w:p w14:paraId="075945B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0512174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对携带电动自行车或者其蓄电池进入乘客电梯不听劝阻、制止的处罚</w:t>
            </w:r>
          </w:p>
        </w:tc>
        <w:tc>
          <w:tcPr>
            <w:tcW w:w="2235" w:type="dxa"/>
            <w:shd w:val="clear" w:color="auto" w:fill="auto"/>
            <w:noWrap w:val="0"/>
            <w:vAlign w:val="center"/>
          </w:tcPr>
          <w:p w14:paraId="78CC225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019461B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《南京市电梯安全条例》第三十二条第二款</w:t>
            </w:r>
          </w:p>
        </w:tc>
        <w:tc>
          <w:tcPr>
            <w:tcW w:w="916" w:type="dxa"/>
            <w:noWrap w:val="0"/>
            <w:vAlign w:val="center"/>
          </w:tcPr>
          <w:p w14:paraId="20A896E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73FCC85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134" w:type="dxa"/>
            <w:shd w:val="clear" w:color="auto" w:fill="auto"/>
            <w:noWrap w:val="0"/>
            <w:vAlign w:val="center"/>
          </w:tcPr>
          <w:p w14:paraId="4D603AE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24</w:t>
            </w:r>
          </w:p>
        </w:tc>
        <w:tc>
          <w:tcPr>
            <w:tcW w:w="2603" w:type="dxa"/>
            <w:shd w:val="clear" w:color="auto" w:fill="auto"/>
            <w:noWrap w:val="0"/>
            <w:vAlign w:val="center"/>
          </w:tcPr>
          <w:p w14:paraId="4B3CBC3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消防委托执法</w:t>
            </w:r>
          </w:p>
        </w:tc>
        <w:tc>
          <w:tcPr>
            <w:tcW w:w="2940" w:type="dxa"/>
            <w:shd w:val="clear" w:color="auto" w:fill="auto"/>
            <w:noWrap w:val="0"/>
            <w:vAlign w:val="center"/>
          </w:tcPr>
          <w:p w14:paraId="2F6E888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对在高层民用建筑的公共门厅、疏散走道、楼梯间、安全出口停放电动自行车或者为电动自行车充电，拒不改正的处罚</w:t>
            </w:r>
          </w:p>
        </w:tc>
        <w:tc>
          <w:tcPr>
            <w:tcW w:w="2235" w:type="dxa"/>
            <w:shd w:val="clear" w:color="auto" w:fill="auto"/>
            <w:noWrap w:val="0"/>
            <w:vAlign w:val="center"/>
          </w:tcPr>
          <w:p w14:paraId="2E39AC7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3493CF8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en-US" w:bidi="ar"/>
              </w:rPr>
              <w:t xml:space="preserve">《高层民用建筑消防安全管理规定》第三十七条第一款 </w:t>
            </w:r>
          </w:p>
        </w:tc>
        <w:tc>
          <w:tcPr>
            <w:tcW w:w="916" w:type="dxa"/>
            <w:noWrap w:val="0"/>
            <w:vAlign w:val="center"/>
          </w:tcPr>
          <w:p w14:paraId="7D1CA21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2FD3A616">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134" w:type="dxa"/>
            <w:shd w:val="clear" w:color="auto" w:fill="auto"/>
            <w:noWrap w:val="0"/>
            <w:vAlign w:val="center"/>
          </w:tcPr>
          <w:p w14:paraId="083231C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25</w:t>
            </w:r>
          </w:p>
        </w:tc>
        <w:tc>
          <w:tcPr>
            <w:tcW w:w="2603" w:type="dxa"/>
            <w:shd w:val="clear" w:color="auto" w:fill="auto"/>
            <w:noWrap w:val="0"/>
            <w:vAlign w:val="center"/>
          </w:tcPr>
          <w:p w14:paraId="1755664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区应急管理局委托执法</w:t>
            </w:r>
          </w:p>
        </w:tc>
        <w:tc>
          <w:tcPr>
            <w:tcW w:w="2940" w:type="dxa"/>
            <w:shd w:val="clear" w:color="auto" w:fill="auto"/>
            <w:noWrap w:val="0"/>
            <w:vAlign w:val="center"/>
          </w:tcPr>
          <w:p w14:paraId="60D5CDC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对生产经营单位进行危险作业，未履行安全管理职责的处罚</w:t>
            </w:r>
          </w:p>
        </w:tc>
        <w:tc>
          <w:tcPr>
            <w:tcW w:w="2235" w:type="dxa"/>
            <w:shd w:val="clear" w:color="auto" w:fill="auto"/>
            <w:noWrap w:val="0"/>
            <w:vAlign w:val="center"/>
          </w:tcPr>
          <w:p w14:paraId="154B67F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60EFE7C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en-US" w:bidi="ar"/>
              </w:rPr>
              <w:t>《中华人民共和国安全生产法》第四十三条</w:t>
            </w:r>
          </w:p>
        </w:tc>
        <w:tc>
          <w:tcPr>
            <w:tcW w:w="916" w:type="dxa"/>
            <w:noWrap w:val="0"/>
            <w:vAlign w:val="center"/>
          </w:tcPr>
          <w:p w14:paraId="710D873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399EC81D">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134" w:type="dxa"/>
            <w:shd w:val="clear" w:color="auto" w:fill="auto"/>
            <w:noWrap w:val="0"/>
            <w:vAlign w:val="center"/>
          </w:tcPr>
          <w:p w14:paraId="5005CF1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26</w:t>
            </w:r>
          </w:p>
        </w:tc>
        <w:tc>
          <w:tcPr>
            <w:tcW w:w="2603" w:type="dxa"/>
            <w:shd w:val="clear" w:color="auto" w:fill="auto"/>
            <w:noWrap w:val="0"/>
            <w:vAlign w:val="center"/>
          </w:tcPr>
          <w:p w14:paraId="5004575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区应急管理局委托执法</w:t>
            </w:r>
          </w:p>
        </w:tc>
        <w:tc>
          <w:tcPr>
            <w:tcW w:w="2940" w:type="dxa"/>
            <w:shd w:val="clear" w:color="auto" w:fill="auto"/>
            <w:noWrap w:val="0"/>
            <w:vAlign w:val="center"/>
          </w:tcPr>
          <w:p w14:paraId="3BBA576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对生产经营单位未建立事故隐患排查治理制度的处罚</w:t>
            </w:r>
          </w:p>
        </w:tc>
        <w:tc>
          <w:tcPr>
            <w:tcW w:w="2235" w:type="dxa"/>
            <w:shd w:val="clear" w:color="auto" w:fill="auto"/>
            <w:noWrap w:val="0"/>
            <w:vAlign w:val="center"/>
          </w:tcPr>
          <w:p w14:paraId="7B84ABC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1F00BC4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《中华人民共和国安全生产法》第四十一条第二款‌</w:t>
            </w:r>
          </w:p>
        </w:tc>
        <w:tc>
          <w:tcPr>
            <w:tcW w:w="916" w:type="dxa"/>
            <w:noWrap w:val="0"/>
            <w:vAlign w:val="center"/>
          </w:tcPr>
          <w:p w14:paraId="46C4BCE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21BA069B">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134" w:type="dxa"/>
            <w:shd w:val="clear" w:color="auto" w:fill="auto"/>
            <w:noWrap w:val="0"/>
            <w:vAlign w:val="center"/>
          </w:tcPr>
          <w:p w14:paraId="7D279CC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27</w:t>
            </w:r>
          </w:p>
        </w:tc>
        <w:tc>
          <w:tcPr>
            <w:tcW w:w="2603" w:type="dxa"/>
            <w:shd w:val="clear" w:color="auto" w:fill="auto"/>
            <w:noWrap w:val="0"/>
            <w:vAlign w:val="center"/>
          </w:tcPr>
          <w:p w14:paraId="18F6AE2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区应急管理局委托执法</w:t>
            </w:r>
          </w:p>
        </w:tc>
        <w:tc>
          <w:tcPr>
            <w:tcW w:w="2940" w:type="dxa"/>
            <w:shd w:val="clear" w:color="auto" w:fill="auto"/>
            <w:noWrap w:val="0"/>
            <w:vAlign w:val="center"/>
          </w:tcPr>
          <w:p w14:paraId="329C2D8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zh-CN" w:bidi="ar"/>
              </w:rPr>
              <w:t>对生产经营单位未制定事故隐患治理方案的处罚</w:t>
            </w:r>
            <w:bookmarkStart w:id="0" w:name="_GoBack"/>
            <w:bookmarkEnd w:id="0"/>
          </w:p>
        </w:tc>
        <w:tc>
          <w:tcPr>
            <w:tcW w:w="2235" w:type="dxa"/>
            <w:shd w:val="clear" w:color="auto" w:fill="auto"/>
            <w:noWrap w:val="0"/>
            <w:vAlign w:val="center"/>
          </w:tcPr>
          <w:p w14:paraId="1BE16C9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2B0A13E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 xml:space="preserve"> 《安全生产事故隐患排查治理暂行规定》第八条第二款</w:t>
            </w:r>
          </w:p>
        </w:tc>
        <w:tc>
          <w:tcPr>
            <w:tcW w:w="916" w:type="dxa"/>
            <w:noWrap w:val="0"/>
            <w:vAlign w:val="center"/>
          </w:tcPr>
          <w:p w14:paraId="6530851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089D22EA">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134" w:type="dxa"/>
            <w:shd w:val="clear" w:color="auto" w:fill="auto"/>
            <w:noWrap w:val="0"/>
            <w:vAlign w:val="center"/>
          </w:tcPr>
          <w:p w14:paraId="671CE7C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28</w:t>
            </w:r>
          </w:p>
        </w:tc>
        <w:tc>
          <w:tcPr>
            <w:tcW w:w="2603" w:type="dxa"/>
            <w:shd w:val="clear" w:color="auto" w:fill="auto"/>
            <w:noWrap w:val="0"/>
            <w:vAlign w:val="center"/>
          </w:tcPr>
          <w:p w14:paraId="65016BA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43E7C45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对在禁止垂钓的区域垂钓的；使用多杆、多钩、锚鱼、长线串钩等器具垂钓，或者销售渔获物的处罚</w:t>
            </w:r>
          </w:p>
          <w:p w14:paraId="6457BDB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p>
        </w:tc>
        <w:tc>
          <w:tcPr>
            <w:tcW w:w="2235" w:type="dxa"/>
            <w:shd w:val="clear" w:color="auto" w:fill="auto"/>
            <w:noWrap w:val="0"/>
            <w:vAlign w:val="center"/>
          </w:tcPr>
          <w:p w14:paraId="0EFCDC2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761739D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《江苏省渔业管理条例》第四十一条</w:t>
            </w:r>
          </w:p>
        </w:tc>
        <w:tc>
          <w:tcPr>
            <w:tcW w:w="916" w:type="dxa"/>
            <w:noWrap w:val="0"/>
            <w:vAlign w:val="center"/>
          </w:tcPr>
          <w:p w14:paraId="32C849D8">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629F1339">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134" w:type="dxa"/>
            <w:shd w:val="clear" w:color="auto" w:fill="auto"/>
            <w:noWrap w:val="0"/>
            <w:vAlign w:val="center"/>
          </w:tcPr>
          <w:p w14:paraId="7D69A79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29</w:t>
            </w:r>
          </w:p>
        </w:tc>
        <w:tc>
          <w:tcPr>
            <w:tcW w:w="2603" w:type="dxa"/>
            <w:shd w:val="clear" w:color="auto" w:fill="auto"/>
            <w:noWrap w:val="0"/>
            <w:vAlign w:val="center"/>
          </w:tcPr>
          <w:p w14:paraId="1228461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5150AD0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对携带炸鱼、毒鱼、电鱼等装置、器具和禁用渔具，以及小于最小网目尺对的网具进入禁渔区的处罚</w:t>
            </w:r>
          </w:p>
        </w:tc>
        <w:tc>
          <w:tcPr>
            <w:tcW w:w="2235" w:type="dxa"/>
            <w:shd w:val="clear" w:color="auto" w:fill="auto"/>
            <w:noWrap w:val="0"/>
            <w:vAlign w:val="center"/>
          </w:tcPr>
          <w:p w14:paraId="79D2C8D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333FEC40">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《江苏省渔业管理条例》第四十二条</w:t>
            </w:r>
          </w:p>
        </w:tc>
        <w:tc>
          <w:tcPr>
            <w:tcW w:w="916" w:type="dxa"/>
            <w:noWrap w:val="0"/>
            <w:vAlign w:val="center"/>
          </w:tcPr>
          <w:p w14:paraId="3B5AF91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7B23E631">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1134" w:type="dxa"/>
            <w:shd w:val="clear" w:color="auto" w:fill="auto"/>
            <w:noWrap w:val="0"/>
            <w:vAlign w:val="center"/>
          </w:tcPr>
          <w:p w14:paraId="2705874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30</w:t>
            </w:r>
          </w:p>
        </w:tc>
        <w:tc>
          <w:tcPr>
            <w:tcW w:w="2603" w:type="dxa"/>
            <w:shd w:val="clear" w:color="auto" w:fill="auto"/>
            <w:noWrap w:val="0"/>
            <w:vAlign w:val="center"/>
          </w:tcPr>
          <w:p w14:paraId="4D0D4B5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1158B92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对擅自捕捞低于起捕标准的水生动物行为的处罚</w:t>
            </w:r>
          </w:p>
        </w:tc>
        <w:tc>
          <w:tcPr>
            <w:tcW w:w="2235" w:type="dxa"/>
            <w:shd w:val="clear" w:color="auto" w:fill="auto"/>
            <w:noWrap w:val="0"/>
            <w:vAlign w:val="center"/>
          </w:tcPr>
          <w:p w14:paraId="4CA8F2F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4D9C6F8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default" w:ascii="宋体" w:hAnsi="宋体" w:eastAsia="宋体" w:cs="宋体"/>
                <w:b w:val="0"/>
                <w:bCs/>
                <w:i w:val="0"/>
                <w:iCs w:val="0"/>
                <w:color w:val="000000"/>
                <w:kern w:val="0"/>
                <w:sz w:val="21"/>
                <w:szCs w:val="21"/>
                <w:u w:val="none"/>
                <w:lang w:val="en-US" w:eastAsia="en-US" w:bidi="ar"/>
              </w:rPr>
              <w:t>《南京市渔业资源保护条例》第三</w:t>
            </w:r>
            <w:r>
              <w:rPr>
                <w:rFonts w:hint="eastAsia" w:ascii="宋体" w:hAnsi="宋体" w:eastAsia="宋体" w:cs="宋体"/>
                <w:b w:val="0"/>
                <w:bCs/>
                <w:i w:val="0"/>
                <w:iCs w:val="0"/>
                <w:color w:val="000000"/>
                <w:kern w:val="0"/>
                <w:sz w:val="21"/>
                <w:szCs w:val="21"/>
                <w:u w:val="none"/>
                <w:lang w:val="en-US" w:eastAsia="zh-CN" w:bidi="ar"/>
              </w:rPr>
              <w:t>十六条</w:t>
            </w:r>
          </w:p>
        </w:tc>
        <w:tc>
          <w:tcPr>
            <w:tcW w:w="916" w:type="dxa"/>
            <w:noWrap w:val="0"/>
            <w:vAlign w:val="center"/>
          </w:tcPr>
          <w:p w14:paraId="2199C63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7DEF91FF">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1134" w:type="dxa"/>
            <w:shd w:val="clear" w:color="auto" w:fill="auto"/>
            <w:noWrap w:val="0"/>
            <w:vAlign w:val="center"/>
          </w:tcPr>
          <w:p w14:paraId="21DEEC93">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31</w:t>
            </w:r>
          </w:p>
        </w:tc>
        <w:tc>
          <w:tcPr>
            <w:tcW w:w="2603" w:type="dxa"/>
            <w:shd w:val="clear" w:color="auto" w:fill="auto"/>
            <w:noWrap w:val="0"/>
            <w:vAlign w:val="center"/>
          </w:tcPr>
          <w:p w14:paraId="3953306B">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0E6D0559">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对未经批准在水产种质资源保护区内从事捕捞活动的处罚</w:t>
            </w:r>
          </w:p>
        </w:tc>
        <w:tc>
          <w:tcPr>
            <w:tcW w:w="2235" w:type="dxa"/>
            <w:shd w:val="clear" w:color="auto" w:fill="auto"/>
            <w:noWrap w:val="0"/>
            <w:vAlign w:val="center"/>
          </w:tcPr>
          <w:p w14:paraId="7E64A5CA">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6C6A42A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《渔业法》第四十五条</w:t>
            </w:r>
          </w:p>
        </w:tc>
        <w:tc>
          <w:tcPr>
            <w:tcW w:w="916" w:type="dxa"/>
            <w:noWrap w:val="0"/>
            <w:vAlign w:val="center"/>
          </w:tcPr>
          <w:p w14:paraId="186E50DD">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5CB22F86">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1134" w:type="dxa"/>
            <w:shd w:val="clear" w:color="auto" w:fill="auto"/>
            <w:noWrap w:val="0"/>
            <w:vAlign w:val="center"/>
          </w:tcPr>
          <w:p w14:paraId="464AD89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32</w:t>
            </w:r>
          </w:p>
        </w:tc>
        <w:tc>
          <w:tcPr>
            <w:tcW w:w="2603" w:type="dxa"/>
            <w:shd w:val="clear" w:color="auto" w:fill="auto"/>
            <w:noWrap w:val="0"/>
            <w:vAlign w:val="center"/>
          </w:tcPr>
          <w:p w14:paraId="50285FA4">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04EE44F2">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对用使用炸鱼、毒鱼、电鱼等破坏渔业资源方法进行捕捞的处罚；对违反关于禁渔区、禁渔期的规定进行捕捞的处罚</w:t>
            </w:r>
          </w:p>
        </w:tc>
        <w:tc>
          <w:tcPr>
            <w:tcW w:w="2235" w:type="dxa"/>
            <w:shd w:val="clear" w:color="auto" w:fill="auto"/>
            <w:noWrap w:val="0"/>
            <w:vAlign w:val="center"/>
          </w:tcPr>
          <w:p w14:paraId="72CDB046">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0110EB5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《渔业法》第三十八条第一款</w:t>
            </w:r>
          </w:p>
        </w:tc>
        <w:tc>
          <w:tcPr>
            <w:tcW w:w="916" w:type="dxa"/>
            <w:noWrap w:val="0"/>
            <w:vAlign w:val="center"/>
          </w:tcPr>
          <w:p w14:paraId="56F4C8F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r w14:paraId="3FA563B3">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1134" w:type="dxa"/>
            <w:shd w:val="clear" w:color="auto" w:fill="auto"/>
            <w:noWrap w:val="0"/>
            <w:vAlign w:val="center"/>
          </w:tcPr>
          <w:p w14:paraId="05CC045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33</w:t>
            </w:r>
          </w:p>
        </w:tc>
        <w:tc>
          <w:tcPr>
            <w:tcW w:w="2603" w:type="dxa"/>
            <w:shd w:val="clear" w:color="auto" w:fill="auto"/>
            <w:noWrap w:val="0"/>
            <w:vAlign w:val="center"/>
          </w:tcPr>
          <w:p w14:paraId="360DC2CC">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南京市农业农村局委托执法</w:t>
            </w:r>
          </w:p>
        </w:tc>
        <w:tc>
          <w:tcPr>
            <w:tcW w:w="2940" w:type="dxa"/>
            <w:shd w:val="clear" w:color="auto" w:fill="auto"/>
            <w:noWrap w:val="0"/>
            <w:vAlign w:val="center"/>
          </w:tcPr>
          <w:p w14:paraId="1030F74F">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对未依法取得捕捞许可证擅自进行捕捞的处罚</w:t>
            </w:r>
          </w:p>
        </w:tc>
        <w:tc>
          <w:tcPr>
            <w:tcW w:w="2235" w:type="dxa"/>
            <w:shd w:val="clear" w:color="auto" w:fill="auto"/>
            <w:noWrap w:val="0"/>
            <w:vAlign w:val="center"/>
          </w:tcPr>
          <w:p w14:paraId="4AD7DFA1">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综合行政执法和安全生产监督管理办公室</w:t>
            </w:r>
          </w:p>
        </w:tc>
        <w:tc>
          <w:tcPr>
            <w:tcW w:w="3780" w:type="dxa"/>
            <w:shd w:val="clear" w:color="auto" w:fill="auto"/>
            <w:noWrap w:val="0"/>
            <w:vAlign w:val="center"/>
          </w:tcPr>
          <w:p w14:paraId="68E8BB9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《渔业法》第四十一条</w:t>
            </w:r>
          </w:p>
          <w:p w14:paraId="49B22235">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default" w:ascii="宋体" w:hAnsi="宋体" w:eastAsia="宋体" w:cs="宋体"/>
                <w:b w:val="0"/>
                <w:bCs/>
                <w:i w:val="0"/>
                <w:iCs w:val="0"/>
                <w:color w:val="000000"/>
                <w:kern w:val="0"/>
                <w:sz w:val="21"/>
                <w:szCs w:val="21"/>
                <w:u w:val="none"/>
                <w:lang w:val="en-US" w:eastAsia="en-US" w:bidi="ar"/>
              </w:rPr>
            </w:pPr>
            <w:r>
              <w:rPr>
                <w:rFonts w:hint="default" w:ascii="宋体" w:hAnsi="宋体" w:eastAsia="宋体" w:cs="宋体"/>
                <w:b w:val="0"/>
                <w:bCs/>
                <w:i w:val="0"/>
                <w:iCs w:val="0"/>
                <w:color w:val="000000"/>
                <w:kern w:val="0"/>
                <w:sz w:val="21"/>
                <w:szCs w:val="21"/>
                <w:u w:val="none"/>
                <w:lang w:val="en-US" w:eastAsia="en-US" w:bidi="ar"/>
              </w:rPr>
              <w:t>《江苏省渔业管理条例》第三十七条</w:t>
            </w:r>
          </w:p>
        </w:tc>
        <w:tc>
          <w:tcPr>
            <w:tcW w:w="916" w:type="dxa"/>
            <w:noWrap w:val="0"/>
            <w:vAlign w:val="center"/>
          </w:tcPr>
          <w:p w14:paraId="3CA791E7">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en-US" w:bidi="ar"/>
              </w:rPr>
            </w:pPr>
          </w:p>
        </w:tc>
      </w:tr>
    </w:tbl>
    <w:p w14:paraId="2A71226E">
      <w:pPr>
        <w:keepNext w:val="0"/>
        <w:keepLines w:val="0"/>
        <w:pageBreakBefore w:val="0"/>
        <w:widowControl/>
        <w:kinsoku w:val="0"/>
        <w:wordWrap/>
        <w:overflowPunct/>
        <w:topLinePunct w:val="0"/>
        <w:autoSpaceDE w:val="0"/>
        <w:autoSpaceDN w:val="0"/>
        <w:bidi w:val="0"/>
        <w:adjustRightInd w:val="0"/>
        <w:snapToGrid w:val="0"/>
        <w:spacing w:line="300" w:lineRule="exact"/>
        <w:ind w:firstLine="0" w:firstLineChars="0"/>
        <w:jc w:val="center"/>
        <w:textAlignment w:val="baseline"/>
        <w:rPr>
          <w:rFonts w:hint="eastAsia" w:ascii="宋体" w:hAnsi="宋体" w:eastAsia="宋体" w:cs="宋体"/>
          <w:b w:val="0"/>
          <w:bCs/>
          <w:i w:val="0"/>
          <w:iCs w:val="0"/>
          <w:color w:val="000000"/>
          <w:kern w:val="0"/>
          <w:sz w:val="21"/>
          <w:szCs w:val="21"/>
          <w:u w:val="none"/>
          <w:lang w:val="en-US" w:eastAsia="zh-CN" w:bidi="ar"/>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3"/>
      </w:pPr>
      <w:r>
        <w:separator/>
      </w:r>
    </w:p>
  </w:endnote>
  <w:endnote w:type="continuationSeparator" w:id="1">
    <w:p>
      <w:pPr>
        <w:ind w:firstLine="64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embedRegular r:id="rId1" w:fontKey="{14FD25E0-7698-49D2-8B37-19FD76324FC9}"/>
  </w:font>
  <w:font w:name="方正楷体_GBK">
    <w:altName w:val="微软雅黑"/>
    <w:panose1 w:val="03000509000000000000"/>
    <w:charset w:val="86"/>
    <w:family w:val="auto"/>
    <w:pitch w:val="default"/>
    <w:sig w:usb0="00000000" w:usb1="00000000" w:usb2="00000000" w:usb3="00000000" w:csb0="00040000" w:csb1="00000000"/>
    <w:embedRegular r:id="rId2" w:fontKey="{7DC726DC-2D40-4754-8EBD-B57B92F68B92}"/>
  </w:font>
  <w:font w:name="方正黑体_GBK">
    <w:altName w:val="微软雅黑"/>
    <w:panose1 w:val="03000509000000000000"/>
    <w:charset w:val="86"/>
    <w:family w:val="auto"/>
    <w:pitch w:val="default"/>
    <w:sig w:usb0="00000000" w:usb1="00000000" w:usb2="00000000" w:usb3="00000000" w:csb0="00040000" w:csb1="00000000"/>
    <w:embedRegular r:id="rId3" w:fontKey="{E3D81B56-94EC-4B66-A3E2-506E0AB71D8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3"/>
      </w:pPr>
      <w:r>
        <w:separator/>
      </w:r>
    </w:p>
  </w:footnote>
  <w:footnote w:type="continuationSeparator" w:id="1">
    <w:p>
      <w:pPr>
        <w:ind w:firstLine="643"/>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355E80"/>
    <w:rsid w:val="0CF30FA0"/>
    <w:rsid w:val="154A76E5"/>
    <w:rsid w:val="2B192F50"/>
    <w:rsid w:val="388E190F"/>
    <w:rsid w:val="4B3A7E15"/>
    <w:rsid w:val="4C8E5BFF"/>
    <w:rsid w:val="50B9331C"/>
    <w:rsid w:val="5A1C1548"/>
    <w:rsid w:val="5C2719B4"/>
    <w:rsid w:val="5FFF53E3"/>
    <w:rsid w:val="60615B80"/>
    <w:rsid w:val="6C954501"/>
    <w:rsid w:val="70952E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68" w:firstLineChars="200"/>
      <w:jc w:val="both"/>
    </w:pPr>
    <w:rPr>
      <w:rFonts w:ascii="Times New Roman" w:hAnsi="Times New Roman" w:eastAsia="方正仿宋_GBK" w:cs="Times New Roman"/>
      <w:b/>
      <w:color w:val="000000"/>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customStyle="1" w:styleId="5">
    <w:name w:val="font11"/>
    <w:basedOn w:val="4"/>
    <w:qFormat/>
    <w:uiPriority w:val="0"/>
    <w:rPr>
      <w:rFonts w:hint="eastAsia" w:ascii="宋体" w:hAnsi="宋体" w:eastAsia="宋体" w:cs="宋体"/>
      <w:color w:val="000000"/>
      <w:sz w:val="24"/>
      <w:szCs w:val="24"/>
      <w:u w:val="none"/>
    </w:rPr>
  </w:style>
  <w:style w:type="character" w:customStyle="1" w:styleId="6">
    <w:name w:val="font31"/>
    <w:basedOn w:val="4"/>
    <w:qFormat/>
    <w:uiPriority w:val="0"/>
    <w:rPr>
      <w:rFonts w:hint="default" w:ascii="Times New Roman" w:hAnsi="Times New Roman" w:cs="Times New Roman"/>
      <w:color w:val="000000"/>
      <w:sz w:val="24"/>
      <w:szCs w:val="24"/>
      <w:u w:val="none"/>
    </w:rPr>
  </w:style>
  <w:style w:type="character" w:customStyle="1" w:styleId="7">
    <w:name w:val="font41"/>
    <w:basedOn w:val="4"/>
    <w:qFormat/>
    <w:uiPriority w:val="0"/>
    <w:rPr>
      <w:rFonts w:ascii="方正书宋_GBK" w:hAnsi="方正书宋_GBK" w:eastAsia="方正书宋_GBK" w:cs="方正书宋_GBK"/>
      <w:color w:val="000000"/>
      <w:sz w:val="24"/>
      <w:szCs w:val="24"/>
      <w:u w:val="none"/>
    </w:rPr>
  </w:style>
  <w:style w:type="character" w:customStyle="1" w:styleId="8">
    <w:name w:val="font5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3159</Words>
  <Characters>3205</Characters>
  <Lines>0</Lines>
  <Paragraphs>0</Paragraphs>
  <TotalTime>4</TotalTime>
  <ScaleCrop>false</ScaleCrop>
  <LinksUpToDate>false</LinksUpToDate>
  <CharactersWithSpaces>3262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2026-05-07T09:36:00Z</dcterms:created>
  <dc:creator>Administrator</dc:creator>
  <cp:lastModifiedBy>Administrator</cp:lastModifiedBy>
  <dcterms:modified xsi:type="dcterms:W3CDTF">2026-10-13T08:08:59Z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eyJoZGlkIjoiODMyZjUxYjU0ZWVjMzQ2Y2ExNzRiNGY4MTllYjJiOGQifQ==</vt:lpwstr>
  </property>
  <property fmtid="{D5CDD505-2E9C-101B-9397-08002B2CF9AE}" pid="4" name="ICV">
    <vt:lpwstr>96C2FC21E53F42D0AC1BB4B2AF5CF226_13</vt:lpwstr>
  </property>
</Properties>
</file>